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79" w:rsidRPr="00C8513E" w:rsidRDefault="00827879" w:rsidP="00827879">
      <w:pPr>
        <w:jc w:val="center"/>
        <w:rPr>
          <w:rFonts w:ascii="Times New Roman" w:hAnsi="Times New Roman" w:cs="Times New Roman"/>
          <w:b/>
          <w:lang w:val="ru-RU"/>
        </w:rPr>
      </w:pPr>
      <w:r w:rsidRPr="00E83069">
        <w:rPr>
          <w:rFonts w:ascii="Times New Roman" w:hAnsi="Times New Roman" w:cs="Times New Roman"/>
          <w:b/>
        </w:rPr>
        <w:t xml:space="preserve">ОДОБРЕНА СЪС ЗАПОВЕД № </w:t>
      </w:r>
      <w:r w:rsidR="00C8513E" w:rsidRPr="00C8513E">
        <w:rPr>
          <w:rFonts w:ascii="Times New Roman" w:hAnsi="Times New Roman" w:cs="Times New Roman"/>
          <w:b/>
          <w:lang w:val="en-US"/>
        </w:rPr>
        <w:t>457</w:t>
      </w:r>
      <w:r w:rsidRPr="00C8513E">
        <w:rPr>
          <w:rFonts w:ascii="Times New Roman" w:hAnsi="Times New Roman" w:cs="Times New Roman"/>
          <w:b/>
          <w:lang w:val="en-US"/>
        </w:rPr>
        <w:t>/</w:t>
      </w:r>
      <w:r w:rsidRPr="00C8513E">
        <w:rPr>
          <w:rFonts w:ascii="Times New Roman" w:hAnsi="Times New Roman" w:cs="Times New Roman"/>
          <w:b/>
        </w:rPr>
        <w:t>2</w:t>
      </w:r>
      <w:r w:rsidR="00C8513E" w:rsidRPr="00C8513E">
        <w:rPr>
          <w:rFonts w:ascii="Times New Roman" w:hAnsi="Times New Roman" w:cs="Times New Roman"/>
          <w:b/>
          <w:lang w:val="en-US"/>
        </w:rPr>
        <w:t>3</w:t>
      </w:r>
      <w:r w:rsidRPr="00C8513E">
        <w:rPr>
          <w:rFonts w:ascii="Times New Roman" w:hAnsi="Times New Roman" w:cs="Times New Roman"/>
          <w:b/>
          <w:lang w:val="en-US"/>
        </w:rPr>
        <w:t>.0</w:t>
      </w:r>
      <w:r w:rsidR="00C8513E" w:rsidRPr="00C8513E">
        <w:rPr>
          <w:rFonts w:ascii="Times New Roman" w:hAnsi="Times New Roman" w:cs="Times New Roman"/>
          <w:b/>
          <w:lang w:val="en-US"/>
        </w:rPr>
        <w:t>8</w:t>
      </w:r>
      <w:r w:rsidRPr="00C8513E">
        <w:rPr>
          <w:rFonts w:ascii="Times New Roman" w:hAnsi="Times New Roman" w:cs="Times New Roman"/>
          <w:b/>
          <w:lang w:val="en-US"/>
        </w:rPr>
        <w:t>.201</w:t>
      </w:r>
      <w:r w:rsidRPr="00C8513E">
        <w:rPr>
          <w:rFonts w:ascii="Times New Roman" w:hAnsi="Times New Roman" w:cs="Times New Roman"/>
          <w:b/>
        </w:rPr>
        <w:t>9 г.</w:t>
      </w:r>
    </w:p>
    <w:p w:rsidR="00827879" w:rsidRDefault="00827879" w:rsidP="00827879">
      <w:pPr>
        <w:jc w:val="center"/>
        <w:rPr>
          <w:rFonts w:ascii="Times New Roman" w:hAnsi="Times New Roman" w:cs="Times New Roman"/>
          <w:b/>
        </w:rPr>
      </w:pPr>
      <w:r>
        <w:rPr>
          <w:rFonts w:ascii="Times New Roman" w:hAnsi="Times New Roman" w:cs="Times New Roman"/>
          <w:b/>
        </w:rPr>
        <w:t xml:space="preserve">НА </w:t>
      </w:r>
      <w:r w:rsidRPr="00E83069">
        <w:rPr>
          <w:rFonts w:ascii="Times New Roman" w:hAnsi="Times New Roman" w:cs="Times New Roman"/>
          <w:b/>
        </w:rPr>
        <w:t>ДИРЕКТОР</w:t>
      </w:r>
      <w:r>
        <w:rPr>
          <w:rFonts w:ascii="Times New Roman" w:hAnsi="Times New Roman" w:cs="Times New Roman"/>
          <w:b/>
        </w:rPr>
        <w:t xml:space="preserve">А </w:t>
      </w:r>
      <w:r w:rsidRPr="00E83069">
        <w:rPr>
          <w:rFonts w:ascii="Times New Roman" w:hAnsi="Times New Roman" w:cs="Times New Roman"/>
          <w:b/>
        </w:rPr>
        <w:t xml:space="preserve"> НА ДЪРЖАВНА ПСИХИАТРИЧНА </w:t>
      </w:r>
      <w:r>
        <w:rPr>
          <w:rFonts w:ascii="Times New Roman" w:hAnsi="Times New Roman" w:cs="Times New Roman"/>
          <w:b/>
        </w:rPr>
        <w:t xml:space="preserve">    </w:t>
      </w:r>
      <w:r w:rsidRPr="00E83069">
        <w:rPr>
          <w:rFonts w:ascii="Times New Roman" w:hAnsi="Times New Roman" w:cs="Times New Roman"/>
          <w:b/>
        </w:rPr>
        <w:t>БОЛНИЦА „ СВ.ИВАН РИЛСКИ”</w:t>
      </w:r>
      <w:r>
        <w:rPr>
          <w:rFonts w:ascii="Times New Roman" w:hAnsi="Times New Roman" w:cs="Times New Roman"/>
          <w:b/>
        </w:rPr>
        <w:t xml:space="preserve"> - </w:t>
      </w:r>
      <w:r w:rsidRPr="00E83069">
        <w:rPr>
          <w:rFonts w:ascii="Times New Roman" w:hAnsi="Times New Roman" w:cs="Times New Roman"/>
          <w:b/>
        </w:rPr>
        <w:t>Д-Р  ЦВЕТЕСЛАВА  ГЪЛЪБОВА</w:t>
      </w:r>
    </w:p>
    <w:p w:rsidR="00827879" w:rsidRDefault="00827879" w:rsidP="00827879">
      <w:pPr>
        <w:pBdr>
          <w:bottom w:val="single" w:sz="6" w:space="1" w:color="auto"/>
        </w:pBdr>
        <w:autoSpaceDE w:val="0"/>
        <w:autoSpaceDN w:val="0"/>
        <w:adjustRightInd w:val="0"/>
        <w:jc w:val="center"/>
        <w:rPr>
          <w:rFonts w:ascii="Times New Roman" w:hAnsi="Times New Roman" w:cs="Times New Roman"/>
          <w:b/>
        </w:rPr>
      </w:pPr>
    </w:p>
    <w:p w:rsidR="00827879" w:rsidRDefault="00827879" w:rsidP="00827879">
      <w:pPr>
        <w:pBdr>
          <w:bottom w:val="single" w:sz="6" w:space="1" w:color="auto"/>
        </w:pBdr>
        <w:autoSpaceDE w:val="0"/>
        <w:autoSpaceDN w:val="0"/>
        <w:adjustRightInd w:val="0"/>
        <w:jc w:val="center"/>
        <w:rPr>
          <w:rFonts w:ascii="Times New Roman" w:hAnsi="Times New Roman" w:cs="Times New Roman"/>
          <w:b/>
        </w:rPr>
      </w:pPr>
    </w:p>
    <w:p w:rsidR="00827879" w:rsidRDefault="00827879" w:rsidP="00827879">
      <w:pPr>
        <w:pBdr>
          <w:bottom w:val="single" w:sz="6" w:space="1" w:color="auto"/>
        </w:pBdr>
        <w:autoSpaceDE w:val="0"/>
        <w:autoSpaceDN w:val="0"/>
        <w:adjustRightInd w:val="0"/>
        <w:jc w:val="center"/>
        <w:rPr>
          <w:rFonts w:ascii="Times New Roman" w:hAnsi="Times New Roman" w:cs="Times New Roman"/>
          <w:b/>
        </w:rPr>
      </w:pPr>
    </w:p>
    <w:p w:rsidR="00827879" w:rsidRPr="00E83069" w:rsidRDefault="00827879" w:rsidP="00827879">
      <w:pPr>
        <w:pBdr>
          <w:bottom w:val="single" w:sz="6" w:space="1" w:color="auto"/>
        </w:pBdr>
        <w:autoSpaceDE w:val="0"/>
        <w:autoSpaceDN w:val="0"/>
        <w:adjustRightInd w:val="0"/>
        <w:jc w:val="center"/>
        <w:rPr>
          <w:rFonts w:ascii="Times New Roman" w:hAnsi="Times New Roman" w:cs="Times New Roman"/>
          <w:b/>
        </w:rPr>
      </w:pPr>
      <w:r w:rsidRPr="00E83069">
        <w:rPr>
          <w:rFonts w:ascii="Times New Roman" w:hAnsi="Times New Roman" w:cs="Times New Roman"/>
          <w:b/>
        </w:rPr>
        <w:t>ДЪРЖАВНА ПСИХИАТРИЧНА БОЛНИЦА „ СВ.ИВАН РИЛСКИ” – НОВИ ИСКЪР</w:t>
      </w:r>
    </w:p>
    <w:p w:rsidR="00827879" w:rsidRPr="00E83069" w:rsidRDefault="00827879" w:rsidP="00827879">
      <w:pPr>
        <w:autoSpaceDE w:val="0"/>
        <w:autoSpaceDN w:val="0"/>
        <w:adjustRightInd w:val="0"/>
        <w:rPr>
          <w:rFonts w:ascii="Times New Roman" w:hAnsi="Times New Roman" w:cs="Times New Roman"/>
          <w:b/>
        </w:rPr>
      </w:pPr>
    </w:p>
    <w:p w:rsidR="00827879" w:rsidRPr="00E83069" w:rsidRDefault="00827879" w:rsidP="00827879">
      <w:pPr>
        <w:rPr>
          <w:rFonts w:ascii="Times New Roman" w:hAnsi="Times New Roman" w:cs="Times New Roman"/>
          <w:b/>
          <w:lang w:val="en-US"/>
        </w:rPr>
      </w:pPr>
    </w:p>
    <w:p w:rsidR="00827879" w:rsidRPr="00254511" w:rsidRDefault="00827879" w:rsidP="00827879">
      <w:pPr>
        <w:rPr>
          <w:rFonts w:ascii="Times New Roman" w:hAnsi="Times New Roman" w:cs="Times New Roman"/>
          <w:b/>
          <w:sz w:val="24"/>
          <w:szCs w:val="24"/>
        </w:rPr>
      </w:pPr>
      <w:r w:rsidRPr="00254511">
        <w:rPr>
          <w:rFonts w:ascii="Times New Roman" w:hAnsi="Times New Roman" w:cs="Times New Roman"/>
          <w:b/>
          <w:bCs/>
          <w:sz w:val="24"/>
          <w:szCs w:val="24"/>
        </w:rPr>
        <w:t>1282 Нови Искър</w:t>
      </w:r>
      <w:r w:rsidRPr="00254511">
        <w:rPr>
          <w:rFonts w:ascii="Times New Roman" w:hAnsi="Times New Roman" w:cs="Times New Roman"/>
          <w:b/>
          <w:bCs/>
          <w:sz w:val="24"/>
          <w:szCs w:val="24"/>
        </w:rPr>
        <w:tab/>
      </w:r>
      <w:r w:rsidRPr="00254511">
        <w:rPr>
          <w:rFonts w:ascii="Times New Roman" w:hAnsi="Times New Roman" w:cs="Times New Roman"/>
          <w:b/>
          <w:bCs/>
          <w:sz w:val="24"/>
          <w:szCs w:val="24"/>
        </w:rPr>
        <w:tab/>
      </w:r>
      <w:r w:rsidRPr="00254511">
        <w:rPr>
          <w:rFonts w:ascii="Times New Roman" w:hAnsi="Times New Roman" w:cs="Times New Roman"/>
          <w:b/>
          <w:bCs/>
          <w:sz w:val="24"/>
          <w:szCs w:val="24"/>
        </w:rPr>
        <w:tab/>
      </w:r>
      <w:r w:rsidRPr="00254511">
        <w:rPr>
          <w:rFonts w:ascii="Times New Roman" w:hAnsi="Times New Roman" w:cs="Times New Roman"/>
          <w:b/>
          <w:bCs/>
          <w:sz w:val="24"/>
          <w:szCs w:val="24"/>
        </w:rPr>
        <w:tab/>
        <w:t>ул. “Христо Ботев ” № 140</w:t>
      </w:r>
    </w:p>
    <w:p w:rsidR="00827879" w:rsidRPr="00254511" w:rsidRDefault="00827879" w:rsidP="00827879">
      <w:pPr>
        <w:rPr>
          <w:rFonts w:ascii="Times New Roman" w:hAnsi="Times New Roman" w:cs="Times New Roman"/>
          <w:sz w:val="24"/>
          <w:szCs w:val="24"/>
        </w:rPr>
      </w:pPr>
      <w:r w:rsidRPr="00254511">
        <w:rPr>
          <w:rFonts w:ascii="Times New Roman" w:hAnsi="Times New Roman" w:cs="Times New Roman"/>
          <w:b/>
          <w:sz w:val="24"/>
          <w:szCs w:val="24"/>
        </w:rPr>
        <w:t>тел.02 991 72 67</w:t>
      </w:r>
      <w:r w:rsidRPr="00254511">
        <w:rPr>
          <w:rFonts w:ascii="Times New Roman" w:hAnsi="Times New Roman" w:cs="Times New Roman"/>
          <w:b/>
          <w:sz w:val="24"/>
          <w:szCs w:val="24"/>
        </w:rPr>
        <w:tab/>
      </w:r>
      <w:r w:rsidRPr="00254511">
        <w:rPr>
          <w:rFonts w:ascii="Times New Roman" w:hAnsi="Times New Roman" w:cs="Times New Roman"/>
          <w:b/>
          <w:sz w:val="24"/>
          <w:szCs w:val="24"/>
        </w:rPr>
        <w:tab/>
      </w:r>
      <w:r w:rsidRPr="00254511">
        <w:rPr>
          <w:rFonts w:ascii="Times New Roman" w:hAnsi="Times New Roman" w:cs="Times New Roman"/>
          <w:b/>
          <w:sz w:val="24"/>
          <w:szCs w:val="24"/>
        </w:rPr>
        <w:tab/>
      </w:r>
      <w:r w:rsidRPr="00254511">
        <w:rPr>
          <w:rFonts w:ascii="Times New Roman" w:hAnsi="Times New Roman" w:cs="Times New Roman"/>
          <w:b/>
          <w:sz w:val="24"/>
          <w:szCs w:val="24"/>
        </w:rPr>
        <w:tab/>
        <w:t>факс 02 4684067;02 4185638</w:t>
      </w:r>
    </w:p>
    <w:p w:rsidR="00827879" w:rsidRPr="00254511" w:rsidRDefault="00827879" w:rsidP="00827879">
      <w:pPr>
        <w:jc w:val="both"/>
        <w:rPr>
          <w:rFonts w:ascii="Times New Roman" w:hAnsi="Times New Roman" w:cs="Times New Roman"/>
          <w:sz w:val="24"/>
          <w:szCs w:val="24"/>
        </w:rPr>
      </w:pPr>
    </w:p>
    <w:p w:rsidR="00827879" w:rsidRPr="00254511" w:rsidRDefault="00827879" w:rsidP="00827879">
      <w:pPr>
        <w:jc w:val="both"/>
        <w:rPr>
          <w:rFonts w:ascii="Times New Roman" w:hAnsi="Times New Roman" w:cs="Times New Roman"/>
          <w:sz w:val="24"/>
          <w:szCs w:val="24"/>
        </w:rPr>
      </w:pPr>
    </w:p>
    <w:p w:rsidR="00827879" w:rsidRPr="00254511" w:rsidRDefault="00827879" w:rsidP="00827879">
      <w:pPr>
        <w:jc w:val="both"/>
        <w:rPr>
          <w:rFonts w:ascii="Times New Roman" w:hAnsi="Times New Roman" w:cs="Times New Roman"/>
          <w:sz w:val="24"/>
          <w:szCs w:val="24"/>
        </w:rPr>
      </w:pPr>
    </w:p>
    <w:p w:rsidR="00827879" w:rsidRPr="00254511" w:rsidRDefault="00827879" w:rsidP="00827879">
      <w:pPr>
        <w:jc w:val="center"/>
        <w:rPr>
          <w:rFonts w:ascii="Times New Roman" w:hAnsi="Times New Roman" w:cs="Times New Roman"/>
          <w:b/>
          <w:sz w:val="24"/>
          <w:szCs w:val="24"/>
        </w:rPr>
      </w:pPr>
      <w:r w:rsidRPr="00254511">
        <w:rPr>
          <w:rFonts w:ascii="Times New Roman" w:hAnsi="Times New Roman" w:cs="Times New Roman"/>
          <w:b/>
          <w:sz w:val="24"/>
          <w:szCs w:val="24"/>
        </w:rPr>
        <w:t>Д О К У М Е Н Т А Ц И Я</w:t>
      </w:r>
    </w:p>
    <w:p w:rsidR="00827879" w:rsidRPr="00254511" w:rsidRDefault="00827879" w:rsidP="00827879">
      <w:pPr>
        <w:jc w:val="center"/>
        <w:rPr>
          <w:rFonts w:ascii="Times New Roman" w:hAnsi="Times New Roman" w:cs="Times New Roman"/>
          <w:b/>
          <w:sz w:val="24"/>
          <w:szCs w:val="24"/>
        </w:rPr>
      </w:pPr>
    </w:p>
    <w:p w:rsidR="00827879" w:rsidRPr="00254511" w:rsidRDefault="00827879" w:rsidP="00827879">
      <w:pPr>
        <w:spacing w:before="240" w:after="240"/>
        <w:jc w:val="center"/>
        <w:rPr>
          <w:rFonts w:ascii="Times New Roman" w:hAnsi="Times New Roman" w:cs="Times New Roman"/>
          <w:sz w:val="24"/>
          <w:szCs w:val="24"/>
        </w:rPr>
      </w:pPr>
      <w:r w:rsidRPr="00254511">
        <w:rPr>
          <w:rFonts w:ascii="Times New Roman" w:hAnsi="Times New Roman" w:cs="Times New Roman"/>
          <w:sz w:val="24"/>
          <w:szCs w:val="24"/>
        </w:rPr>
        <w:t xml:space="preserve">ЗА ВЪЗЛАГАНЕ НА ОБЩЕСТВЕНА ПОРЪЧКА ПО РЕДА НА ГЛАВА </w:t>
      </w:r>
      <w:r w:rsidRPr="00254511">
        <w:rPr>
          <w:rFonts w:ascii="Times New Roman" w:hAnsi="Times New Roman" w:cs="Times New Roman"/>
          <w:b/>
          <w:bCs/>
          <w:sz w:val="24"/>
          <w:szCs w:val="24"/>
        </w:rPr>
        <w:t>Глава двадесет и шеста</w:t>
      </w:r>
      <w:r w:rsidRPr="00254511">
        <w:rPr>
          <w:rFonts w:ascii="Times New Roman" w:hAnsi="Times New Roman" w:cs="Times New Roman"/>
          <w:b/>
          <w:bCs/>
          <w:sz w:val="24"/>
          <w:szCs w:val="24"/>
          <w:lang w:val="en-US"/>
        </w:rPr>
        <w:t>от ЗОП</w:t>
      </w:r>
      <w:r w:rsidRPr="00254511">
        <w:rPr>
          <w:rFonts w:ascii="Times New Roman" w:hAnsi="Times New Roman" w:cs="Times New Roman"/>
          <w:b/>
          <w:bCs/>
          <w:sz w:val="24"/>
          <w:szCs w:val="24"/>
        </w:rPr>
        <w:br/>
        <w:t>СЪБИРАНЕ НА ОФЕРТИ С ОБЯВА. ПОКАНА ДО ОПРЕДЕЛЕНИ ЛИЦА</w:t>
      </w:r>
      <w:r w:rsidRPr="00254511">
        <w:rPr>
          <w:rFonts w:ascii="Times New Roman" w:hAnsi="Times New Roman" w:cs="Times New Roman"/>
          <w:b/>
          <w:bCs/>
          <w:sz w:val="24"/>
          <w:szCs w:val="24"/>
          <w:lang w:val="en-US"/>
        </w:rPr>
        <w:t xml:space="preserve"> -</w:t>
      </w:r>
      <w:r w:rsidRPr="00254511">
        <w:rPr>
          <w:rFonts w:ascii="Times New Roman" w:hAnsi="Times New Roman" w:cs="Times New Roman"/>
          <w:sz w:val="24"/>
          <w:szCs w:val="24"/>
        </w:rPr>
        <w:t>Разпоредбите на тази глава се прилагат при възлагане на обществени поръчки на стойност по чл. 20, ал. 3</w:t>
      </w:r>
      <w:r w:rsidR="001B1C91" w:rsidRPr="00254511">
        <w:rPr>
          <w:rFonts w:ascii="Times New Roman" w:hAnsi="Times New Roman" w:cs="Times New Roman"/>
          <w:sz w:val="24"/>
          <w:szCs w:val="24"/>
        </w:rPr>
        <w:t>,т.2 от ЗОП</w:t>
      </w:r>
      <w:r w:rsidRPr="00254511">
        <w:rPr>
          <w:rFonts w:ascii="Times New Roman" w:hAnsi="Times New Roman" w:cs="Times New Roman"/>
          <w:sz w:val="24"/>
          <w:szCs w:val="24"/>
        </w:rPr>
        <w:t>.</w:t>
      </w:r>
    </w:p>
    <w:p w:rsidR="00827879" w:rsidRPr="004F2307" w:rsidRDefault="00827879" w:rsidP="00827879">
      <w:pPr>
        <w:rPr>
          <w:rFonts w:ascii="Times New Roman" w:hAnsi="Times New Roman" w:cs="Times New Roman"/>
          <w:b/>
          <w:i/>
          <w:sz w:val="32"/>
          <w:szCs w:val="32"/>
        </w:rPr>
      </w:pPr>
    </w:p>
    <w:p w:rsidR="004F2307" w:rsidRPr="004F2307" w:rsidRDefault="004F2307" w:rsidP="00827879">
      <w:pPr>
        <w:rPr>
          <w:rFonts w:ascii="Times New Roman" w:hAnsi="Times New Roman" w:cs="Times New Roman"/>
          <w:b/>
          <w:i/>
          <w:sz w:val="32"/>
          <w:szCs w:val="32"/>
        </w:rPr>
      </w:pPr>
    </w:p>
    <w:p w:rsidR="004F2307" w:rsidRPr="004F2307" w:rsidRDefault="004F2307" w:rsidP="004F2307">
      <w:pPr>
        <w:spacing w:after="0"/>
        <w:jc w:val="both"/>
        <w:rPr>
          <w:rFonts w:ascii="Times New Roman" w:hAnsi="Times New Roman" w:cs="Times New Roman"/>
          <w:b/>
          <w:sz w:val="32"/>
          <w:szCs w:val="32"/>
        </w:rPr>
      </w:pPr>
      <w:r w:rsidRPr="004F2307">
        <w:rPr>
          <w:rFonts w:ascii="Times New Roman" w:hAnsi="Times New Roman" w:cs="Times New Roman"/>
          <w:b/>
          <w:sz w:val="32"/>
          <w:szCs w:val="32"/>
        </w:rPr>
        <w:t xml:space="preserve">„ Реконструкция на котелно отделение, доставка, монтаж, въвеждане в експлоатация и гаранционна поддръжка на нов водогреен котел при   ДПБ „Св. </w:t>
      </w:r>
      <w:r w:rsidRPr="004F2307">
        <w:rPr>
          <w:rFonts w:ascii="Times New Roman" w:hAnsi="Times New Roman" w:cs="Times New Roman"/>
          <w:b/>
          <w:sz w:val="32"/>
          <w:szCs w:val="32"/>
        </w:rPr>
        <w:tab/>
        <w:t xml:space="preserve">Ив. </w:t>
      </w:r>
      <w:r w:rsidRPr="004F2307">
        <w:rPr>
          <w:rFonts w:ascii="Times New Roman" w:hAnsi="Times New Roman" w:cs="Times New Roman"/>
          <w:b/>
          <w:sz w:val="32"/>
          <w:szCs w:val="32"/>
        </w:rPr>
        <w:tab/>
        <w:t>Рилски””</w:t>
      </w:r>
    </w:p>
    <w:p w:rsidR="004F2307" w:rsidRPr="004F2307" w:rsidRDefault="004F2307" w:rsidP="00827879">
      <w:pPr>
        <w:rPr>
          <w:rFonts w:ascii="Times New Roman" w:hAnsi="Times New Roman" w:cs="Times New Roman"/>
          <w:b/>
          <w:i/>
          <w:sz w:val="32"/>
          <w:szCs w:val="32"/>
        </w:rPr>
      </w:pPr>
    </w:p>
    <w:p w:rsidR="004F2307" w:rsidRPr="004F2307" w:rsidRDefault="004F2307" w:rsidP="00827879">
      <w:pPr>
        <w:rPr>
          <w:rFonts w:ascii="Times New Roman" w:hAnsi="Times New Roman" w:cs="Times New Roman"/>
          <w:b/>
          <w:i/>
          <w:sz w:val="32"/>
          <w:szCs w:val="32"/>
        </w:rPr>
      </w:pPr>
    </w:p>
    <w:p w:rsidR="004F2307" w:rsidRPr="004F2307" w:rsidRDefault="004F2307" w:rsidP="00827879">
      <w:pPr>
        <w:rPr>
          <w:rFonts w:ascii="Times New Roman" w:hAnsi="Times New Roman" w:cs="Times New Roman"/>
          <w:b/>
          <w:i/>
          <w:sz w:val="32"/>
          <w:szCs w:val="32"/>
        </w:rPr>
      </w:pPr>
    </w:p>
    <w:p w:rsidR="00827879" w:rsidRPr="00E83069" w:rsidRDefault="00827879" w:rsidP="00827879">
      <w:pPr>
        <w:jc w:val="center"/>
        <w:rPr>
          <w:rFonts w:ascii="Times New Roman" w:hAnsi="Times New Roman" w:cs="Times New Roman"/>
        </w:rPr>
      </w:pPr>
    </w:p>
    <w:p w:rsidR="00827879" w:rsidRPr="00E83069" w:rsidRDefault="00827879" w:rsidP="00827879">
      <w:pPr>
        <w:jc w:val="center"/>
        <w:rPr>
          <w:rFonts w:ascii="Times New Roman" w:hAnsi="Times New Roman" w:cs="Times New Roman"/>
          <w:b/>
        </w:rPr>
      </w:pPr>
    </w:p>
    <w:p w:rsidR="00827879" w:rsidRPr="00E83069" w:rsidRDefault="00827879" w:rsidP="00827879">
      <w:pPr>
        <w:jc w:val="center"/>
        <w:rPr>
          <w:rFonts w:ascii="Times New Roman" w:hAnsi="Times New Roman" w:cs="Times New Roman"/>
          <w:b/>
        </w:rPr>
      </w:pPr>
    </w:p>
    <w:p w:rsidR="00827879" w:rsidRDefault="00827879" w:rsidP="00827879">
      <w:pPr>
        <w:jc w:val="center"/>
        <w:rPr>
          <w:b/>
          <w:sz w:val="32"/>
        </w:rPr>
      </w:pPr>
    </w:p>
    <w:p w:rsidR="00827879" w:rsidRDefault="00827879" w:rsidP="00827879">
      <w:pPr>
        <w:jc w:val="both"/>
        <w:rPr>
          <w:sz w:val="28"/>
        </w:rPr>
      </w:pPr>
    </w:p>
    <w:p w:rsidR="00827879" w:rsidRDefault="00827879" w:rsidP="00827879">
      <w:pPr>
        <w:jc w:val="center"/>
        <w:rPr>
          <w:b/>
          <w:sz w:val="36"/>
        </w:rPr>
      </w:pPr>
      <w:r>
        <w:rPr>
          <w:b/>
          <w:sz w:val="36"/>
        </w:rPr>
        <w:t>С Ъ Д Ъ Р Ж А Н И Е</w:t>
      </w:r>
    </w:p>
    <w:p w:rsidR="00827879" w:rsidRDefault="00827879" w:rsidP="00827879">
      <w:pPr>
        <w:pStyle w:val="Default"/>
        <w:rPr>
          <w:b/>
          <w:bCs/>
          <w:color w:val="auto"/>
          <w:sz w:val="23"/>
          <w:szCs w:val="23"/>
        </w:rPr>
      </w:pPr>
      <w:r w:rsidRPr="008F0FA8">
        <w:rPr>
          <w:b/>
          <w:bCs/>
          <w:color w:val="auto"/>
          <w:sz w:val="23"/>
          <w:szCs w:val="23"/>
        </w:rPr>
        <w:t xml:space="preserve">Офертите на участниците следва да съдържат следните документи: </w:t>
      </w:r>
    </w:p>
    <w:p w:rsidR="00827879" w:rsidRDefault="00827879" w:rsidP="00827879">
      <w:pPr>
        <w:pStyle w:val="Default"/>
        <w:rPr>
          <w:b/>
          <w:bCs/>
          <w:color w:val="auto"/>
          <w:sz w:val="23"/>
          <w:szCs w:val="23"/>
        </w:rPr>
      </w:pPr>
      <w:r>
        <w:rPr>
          <w:b/>
          <w:bCs/>
          <w:color w:val="auto"/>
          <w:sz w:val="23"/>
          <w:szCs w:val="23"/>
        </w:rPr>
        <w:t xml:space="preserve">Заповед №    21.06.2019 г. </w:t>
      </w:r>
    </w:p>
    <w:p w:rsidR="00827879" w:rsidRDefault="00827879" w:rsidP="00827879">
      <w:pPr>
        <w:pStyle w:val="Default"/>
        <w:rPr>
          <w:b/>
          <w:bCs/>
          <w:color w:val="auto"/>
          <w:sz w:val="23"/>
          <w:szCs w:val="23"/>
        </w:rPr>
      </w:pPr>
      <w:r>
        <w:rPr>
          <w:b/>
          <w:bCs/>
          <w:color w:val="auto"/>
          <w:sz w:val="23"/>
          <w:szCs w:val="23"/>
        </w:rPr>
        <w:t xml:space="preserve">Техническа спецификация </w:t>
      </w:r>
    </w:p>
    <w:p w:rsidR="00827879" w:rsidRDefault="00827879" w:rsidP="00827879">
      <w:pPr>
        <w:pStyle w:val="Default"/>
        <w:rPr>
          <w:b/>
          <w:bCs/>
          <w:color w:val="auto"/>
          <w:sz w:val="23"/>
          <w:szCs w:val="23"/>
        </w:rPr>
      </w:pPr>
      <w:r>
        <w:rPr>
          <w:b/>
          <w:bCs/>
          <w:color w:val="auto"/>
          <w:sz w:val="23"/>
          <w:szCs w:val="23"/>
        </w:rPr>
        <w:t xml:space="preserve">Количествено стойностна сметка </w:t>
      </w:r>
    </w:p>
    <w:p w:rsidR="00827879" w:rsidRDefault="00827879" w:rsidP="00827879">
      <w:pPr>
        <w:pStyle w:val="Default"/>
        <w:rPr>
          <w:b/>
          <w:bCs/>
          <w:color w:val="auto"/>
          <w:sz w:val="23"/>
          <w:szCs w:val="23"/>
        </w:rPr>
      </w:pPr>
      <w:r>
        <w:rPr>
          <w:b/>
          <w:bCs/>
          <w:color w:val="auto"/>
          <w:sz w:val="23"/>
          <w:szCs w:val="23"/>
        </w:rPr>
        <w:t>Проекто- договор</w:t>
      </w:r>
    </w:p>
    <w:p w:rsidR="00827879" w:rsidRDefault="00827879" w:rsidP="00827879">
      <w:pPr>
        <w:pStyle w:val="Default"/>
        <w:rPr>
          <w:b/>
          <w:bCs/>
          <w:color w:val="auto"/>
          <w:sz w:val="23"/>
          <w:szCs w:val="23"/>
        </w:rPr>
      </w:pPr>
      <w:r>
        <w:rPr>
          <w:b/>
          <w:bCs/>
          <w:color w:val="auto"/>
          <w:sz w:val="23"/>
          <w:szCs w:val="23"/>
        </w:rPr>
        <w:t>Документация – указания към участниците</w:t>
      </w:r>
    </w:p>
    <w:p w:rsidR="00827879" w:rsidRPr="008F0FA8" w:rsidRDefault="00827879" w:rsidP="00827879">
      <w:pPr>
        <w:pStyle w:val="Default"/>
        <w:rPr>
          <w:color w:val="auto"/>
          <w:sz w:val="23"/>
          <w:szCs w:val="23"/>
        </w:rPr>
      </w:pPr>
      <w:r>
        <w:rPr>
          <w:b/>
          <w:bCs/>
          <w:color w:val="auto"/>
          <w:sz w:val="23"/>
          <w:szCs w:val="23"/>
        </w:rPr>
        <w:t xml:space="preserve">Приложения : </w:t>
      </w:r>
    </w:p>
    <w:p w:rsidR="00827879" w:rsidRDefault="00827879" w:rsidP="00827879">
      <w:pPr>
        <w:pStyle w:val="Default"/>
        <w:rPr>
          <w:color w:val="auto"/>
          <w:sz w:val="23"/>
          <w:szCs w:val="23"/>
        </w:rPr>
      </w:pPr>
      <w:r w:rsidRPr="008F0FA8">
        <w:rPr>
          <w:color w:val="auto"/>
          <w:sz w:val="23"/>
          <w:szCs w:val="23"/>
        </w:rPr>
        <w:t xml:space="preserve">Опис на представените документи </w:t>
      </w:r>
      <w:r w:rsidRPr="008F0FA8">
        <w:rPr>
          <w:b/>
          <w:bCs/>
          <w:color w:val="auto"/>
          <w:sz w:val="23"/>
          <w:szCs w:val="23"/>
        </w:rPr>
        <w:t>(Приложение №А)</w:t>
      </w:r>
      <w:r w:rsidRPr="008F0FA8">
        <w:rPr>
          <w:color w:val="auto"/>
          <w:sz w:val="23"/>
          <w:szCs w:val="23"/>
        </w:rPr>
        <w:t xml:space="preserve">; </w:t>
      </w:r>
    </w:p>
    <w:p w:rsidR="00827879" w:rsidRPr="008F0FA8" w:rsidRDefault="00827879" w:rsidP="00827879">
      <w:pPr>
        <w:pStyle w:val="Default"/>
        <w:rPr>
          <w:color w:val="auto"/>
          <w:sz w:val="23"/>
          <w:szCs w:val="23"/>
        </w:rPr>
      </w:pPr>
      <w:r w:rsidRPr="008F0FA8">
        <w:rPr>
          <w:color w:val="auto"/>
          <w:sz w:val="23"/>
          <w:szCs w:val="23"/>
        </w:rPr>
        <w:t>Оферта (</w:t>
      </w:r>
      <w:r w:rsidRPr="008F0FA8">
        <w:rPr>
          <w:b/>
          <w:bCs/>
          <w:color w:val="auto"/>
          <w:sz w:val="23"/>
          <w:szCs w:val="23"/>
        </w:rPr>
        <w:t>Приложение №1</w:t>
      </w:r>
      <w:r w:rsidRPr="008F0FA8">
        <w:rPr>
          <w:color w:val="auto"/>
          <w:sz w:val="23"/>
          <w:szCs w:val="23"/>
        </w:rPr>
        <w:t xml:space="preserve">) </w:t>
      </w:r>
    </w:p>
    <w:p w:rsidR="00827879" w:rsidRPr="008F0FA8" w:rsidRDefault="00827879" w:rsidP="00827879">
      <w:pPr>
        <w:pStyle w:val="Default"/>
        <w:rPr>
          <w:color w:val="auto"/>
          <w:sz w:val="23"/>
          <w:szCs w:val="23"/>
        </w:rPr>
      </w:pPr>
      <w:r w:rsidRPr="008F0FA8">
        <w:rPr>
          <w:color w:val="auto"/>
          <w:sz w:val="23"/>
          <w:szCs w:val="23"/>
        </w:rPr>
        <w:t>Техническо предложение (</w:t>
      </w:r>
      <w:r w:rsidRPr="008F0FA8">
        <w:rPr>
          <w:b/>
          <w:bCs/>
          <w:color w:val="auto"/>
          <w:sz w:val="23"/>
          <w:szCs w:val="23"/>
        </w:rPr>
        <w:t>Приложение №2)</w:t>
      </w:r>
      <w:r w:rsidRPr="008F0FA8">
        <w:rPr>
          <w:color w:val="auto"/>
          <w:sz w:val="23"/>
          <w:szCs w:val="23"/>
        </w:rPr>
        <w:t xml:space="preserve"> </w:t>
      </w:r>
    </w:p>
    <w:p w:rsidR="00827879" w:rsidRPr="008F0FA8" w:rsidRDefault="00827879" w:rsidP="00827879">
      <w:pPr>
        <w:pStyle w:val="Default"/>
        <w:jc w:val="both"/>
        <w:rPr>
          <w:color w:val="auto"/>
          <w:sz w:val="23"/>
          <w:szCs w:val="23"/>
        </w:rPr>
      </w:pPr>
      <w:r w:rsidRPr="008F0FA8">
        <w:rPr>
          <w:color w:val="auto"/>
          <w:sz w:val="23"/>
          <w:szCs w:val="23"/>
        </w:rPr>
        <w:t>Ценова оферта (</w:t>
      </w:r>
      <w:r w:rsidRPr="008F0FA8">
        <w:rPr>
          <w:b/>
          <w:bCs/>
          <w:color w:val="auto"/>
          <w:sz w:val="23"/>
          <w:szCs w:val="23"/>
        </w:rPr>
        <w:t>Приложение №3</w:t>
      </w:r>
      <w:r w:rsidRPr="008F0FA8">
        <w:rPr>
          <w:color w:val="auto"/>
          <w:sz w:val="23"/>
          <w:szCs w:val="23"/>
        </w:rPr>
        <w:t xml:space="preserve">) </w:t>
      </w:r>
    </w:p>
    <w:p w:rsidR="00827879" w:rsidRPr="008F0FA8" w:rsidRDefault="00827879" w:rsidP="00827879">
      <w:pPr>
        <w:pStyle w:val="Default"/>
        <w:rPr>
          <w:color w:val="auto"/>
          <w:sz w:val="23"/>
          <w:szCs w:val="23"/>
        </w:rPr>
      </w:pPr>
      <w:r w:rsidRPr="008F0FA8">
        <w:rPr>
          <w:color w:val="auto"/>
          <w:sz w:val="23"/>
          <w:szCs w:val="23"/>
        </w:rPr>
        <w:t>Декларация за съответствие с критериите за подбор (</w:t>
      </w:r>
      <w:r w:rsidRPr="008F0FA8">
        <w:rPr>
          <w:b/>
          <w:bCs/>
          <w:color w:val="auto"/>
          <w:sz w:val="23"/>
          <w:szCs w:val="23"/>
        </w:rPr>
        <w:t>Приложение №4</w:t>
      </w:r>
      <w:r w:rsidRPr="008F0FA8">
        <w:rPr>
          <w:color w:val="auto"/>
          <w:sz w:val="23"/>
          <w:szCs w:val="23"/>
        </w:rPr>
        <w:t xml:space="preserve">) </w:t>
      </w:r>
    </w:p>
    <w:p w:rsidR="00827879" w:rsidRPr="008F0FA8" w:rsidRDefault="00827879" w:rsidP="0082787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№5</w:t>
      </w:r>
      <w:r w:rsidRPr="008F0FA8">
        <w:rPr>
          <w:color w:val="auto"/>
          <w:sz w:val="23"/>
          <w:szCs w:val="23"/>
        </w:rPr>
        <w:t xml:space="preserve">) за липса на обстоятелствата по чл. 54, ал. 1, т. 1, 2 и 7 от ЗОП; </w:t>
      </w:r>
    </w:p>
    <w:p w:rsidR="00827879" w:rsidRPr="008F0FA8" w:rsidRDefault="00827879" w:rsidP="0082787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№6</w:t>
      </w:r>
      <w:r w:rsidRPr="008F0FA8">
        <w:rPr>
          <w:color w:val="auto"/>
          <w:sz w:val="23"/>
          <w:szCs w:val="23"/>
        </w:rPr>
        <w:t xml:space="preserve">) за липса на обстоятелствата по чл. 54, ал. 1, т. 3 – 6 от ЗОП; </w:t>
      </w:r>
    </w:p>
    <w:p w:rsidR="00827879" w:rsidRPr="008F0FA8" w:rsidRDefault="00827879" w:rsidP="0082787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№7</w:t>
      </w:r>
      <w:r w:rsidRPr="008F0FA8">
        <w:rPr>
          <w:color w:val="auto"/>
          <w:sz w:val="23"/>
          <w:szCs w:val="23"/>
        </w:rPr>
        <w:t xml:space="preserve">), за съгласие за участие като подизпълнител </w:t>
      </w:r>
    </w:p>
    <w:p w:rsidR="00827879" w:rsidRPr="008F0FA8" w:rsidRDefault="00827879" w:rsidP="00827879">
      <w:pPr>
        <w:pStyle w:val="Default"/>
        <w:rPr>
          <w:color w:val="auto"/>
          <w:sz w:val="23"/>
          <w:szCs w:val="23"/>
        </w:rPr>
      </w:pPr>
      <w:r w:rsidRPr="008F0FA8">
        <w:rPr>
          <w:color w:val="auto"/>
          <w:sz w:val="23"/>
          <w:szCs w:val="23"/>
        </w:rPr>
        <w:t>Декларация (</w:t>
      </w:r>
      <w:r w:rsidRPr="008F0FA8">
        <w:rPr>
          <w:b/>
          <w:bCs/>
          <w:color w:val="auto"/>
          <w:sz w:val="23"/>
          <w:szCs w:val="23"/>
        </w:rPr>
        <w:t>Приложение №8</w:t>
      </w:r>
      <w:r w:rsidRPr="008F0FA8">
        <w:rPr>
          <w:color w:val="auto"/>
          <w:sz w:val="23"/>
          <w:szCs w:val="23"/>
        </w:rPr>
        <w:t xml:space="preserve">), за съгласие за предоставяне на капацитет от трети лица </w:t>
      </w:r>
    </w:p>
    <w:p w:rsidR="00827879" w:rsidRPr="008F0FA8" w:rsidRDefault="00827879" w:rsidP="00827879">
      <w:pPr>
        <w:pStyle w:val="Default"/>
        <w:rPr>
          <w:color w:val="auto"/>
          <w:sz w:val="23"/>
          <w:szCs w:val="23"/>
        </w:rPr>
      </w:pPr>
      <w:r w:rsidRPr="008F0FA8">
        <w:rPr>
          <w:color w:val="auto"/>
          <w:sz w:val="23"/>
          <w:szCs w:val="23"/>
        </w:rPr>
        <w:t>Декларация (</w:t>
      </w:r>
      <w:r w:rsidRPr="008F0FA8">
        <w:rPr>
          <w:b/>
          <w:bCs/>
          <w:color w:val="auto"/>
          <w:sz w:val="23"/>
          <w:szCs w:val="23"/>
        </w:rPr>
        <w:t xml:space="preserve">Приложение №9), </w:t>
      </w:r>
      <w:r w:rsidRPr="008F0FA8">
        <w:rPr>
          <w:color w:val="auto"/>
          <w:sz w:val="23"/>
          <w:szCs w:val="23"/>
        </w:rPr>
        <w:t>по  чл. 3, т. 8 и чл. 4 от ЗИФОДРЮПДРКТЛТДС</w:t>
      </w:r>
    </w:p>
    <w:p w:rsidR="00827879" w:rsidRPr="008F0FA8" w:rsidRDefault="00827879" w:rsidP="00827879">
      <w:pPr>
        <w:pStyle w:val="Default"/>
        <w:rPr>
          <w:color w:val="auto"/>
          <w:sz w:val="23"/>
          <w:szCs w:val="23"/>
        </w:rPr>
      </w:pPr>
      <w:r w:rsidRPr="008F0FA8">
        <w:rPr>
          <w:color w:val="auto"/>
          <w:sz w:val="23"/>
          <w:szCs w:val="23"/>
        </w:rPr>
        <w:t>Декларация по чл.69 от ЗПКОНПИ (</w:t>
      </w:r>
      <w:r w:rsidRPr="008F0FA8">
        <w:rPr>
          <w:b/>
          <w:bCs/>
          <w:color w:val="auto"/>
          <w:sz w:val="23"/>
          <w:szCs w:val="23"/>
        </w:rPr>
        <w:t>Приложение №10)</w:t>
      </w:r>
    </w:p>
    <w:p w:rsidR="00827879" w:rsidRPr="008F0FA8" w:rsidRDefault="00827879" w:rsidP="00827879">
      <w:pPr>
        <w:pStyle w:val="Default"/>
        <w:rPr>
          <w:color w:val="auto"/>
          <w:sz w:val="23"/>
          <w:szCs w:val="23"/>
        </w:rPr>
      </w:pPr>
      <w:r w:rsidRPr="008F0FA8">
        <w:rPr>
          <w:color w:val="auto"/>
          <w:sz w:val="23"/>
          <w:szCs w:val="23"/>
        </w:rPr>
        <w:t>Сведения за участника и декларация (</w:t>
      </w:r>
      <w:r w:rsidRPr="008F0FA8">
        <w:rPr>
          <w:b/>
          <w:bCs/>
          <w:color w:val="auto"/>
          <w:sz w:val="23"/>
          <w:szCs w:val="23"/>
        </w:rPr>
        <w:t>Приложение №11</w:t>
      </w:r>
      <w:r w:rsidRPr="008F0FA8">
        <w:rPr>
          <w:color w:val="auto"/>
          <w:sz w:val="23"/>
          <w:szCs w:val="23"/>
        </w:rPr>
        <w:t xml:space="preserve">) </w:t>
      </w:r>
    </w:p>
    <w:p w:rsidR="00827879" w:rsidRPr="008F0FA8" w:rsidRDefault="00827879" w:rsidP="00827879">
      <w:pPr>
        <w:pStyle w:val="Default"/>
        <w:rPr>
          <w:color w:val="auto"/>
          <w:sz w:val="23"/>
          <w:szCs w:val="23"/>
        </w:rPr>
      </w:pPr>
      <w:r w:rsidRPr="008F0FA8">
        <w:rPr>
          <w:color w:val="auto"/>
          <w:sz w:val="23"/>
          <w:szCs w:val="23"/>
        </w:rPr>
        <w:t xml:space="preserve">Декларация за запознаване с условията на строитлената площадка </w:t>
      </w:r>
      <w:r w:rsidRPr="008F0FA8">
        <w:rPr>
          <w:b/>
          <w:bCs/>
          <w:color w:val="auto"/>
          <w:sz w:val="23"/>
          <w:szCs w:val="23"/>
        </w:rPr>
        <w:t xml:space="preserve">(Приложение №12) </w:t>
      </w:r>
    </w:p>
    <w:p w:rsidR="00827879" w:rsidRDefault="00827879" w:rsidP="00827879">
      <w:pPr>
        <w:jc w:val="center"/>
        <w:rPr>
          <w:b/>
          <w:sz w:val="36"/>
        </w:rPr>
      </w:pPr>
    </w:p>
    <w:p w:rsidR="00827879" w:rsidRDefault="00827879" w:rsidP="00827879">
      <w:pPr>
        <w:jc w:val="center"/>
        <w:rPr>
          <w:b/>
          <w:sz w:val="36"/>
        </w:rPr>
      </w:pPr>
    </w:p>
    <w:p w:rsidR="00827879" w:rsidRPr="00F10367" w:rsidRDefault="00827879" w:rsidP="00827879">
      <w:pPr>
        <w:pStyle w:val="BodyTextIndent3"/>
        <w:tabs>
          <w:tab w:val="left" w:pos="9900"/>
        </w:tabs>
        <w:spacing w:before="120" w:after="0"/>
        <w:ind w:left="0" w:firstLine="720"/>
        <w:jc w:val="center"/>
        <w:rPr>
          <w:b/>
          <w:sz w:val="24"/>
          <w:szCs w:val="24"/>
          <w:lang w:val="en-US"/>
        </w:rPr>
      </w:pPr>
    </w:p>
    <w:p w:rsidR="00827879" w:rsidRDefault="00827879" w:rsidP="00827879">
      <w:pPr>
        <w:jc w:val="center"/>
        <w:rPr>
          <w:b/>
          <w:sz w:val="28"/>
        </w:rPr>
      </w:pPr>
    </w:p>
    <w:p w:rsidR="00827879" w:rsidRDefault="00827879" w:rsidP="00827879">
      <w:pPr>
        <w:jc w:val="center"/>
        <w:rPr>
          <w:b/>
          <w:sz w:val="28"/>
        </w:rPr>
      </w:pPr>
    </w:p>
    <w:p w:rsidR="00827879" w:rsidRDefault="00827879" w:rsidP="00827879">
      <w:pPr>
        <w:jc w:val="center"/>
        <w:rPr>
          <w:b/>
          <w:sz w:val="28"/>
        </w:rPr>
      </w:pPr>
    </w:p>
    <w:p w:rsidR="00827879" w:rsidRDefault="00827879" w:rsidP="00827879">
      <w:pPr>
        <w:jc w:val="center"/>
        <w:rPr>
          <w:b/>
          <w:sz w:val="28"/>
        </w:rPr>
      </w:pPr>
    </w:p>
    <w:p w:rsidR="00827879" w:rsidRDefault="00827879" w:rsidP="00827879">
      <w:pPr>
        <w:jc w:val="center"/>
        <w:rPr>
          <w:b/>
          <w:sz w:val="28"/>
        </w:rPr>
      </w:pPr>
    </w:p>
    <w:p w:rsidR="00827879" w:rsidRPr="00A313BE" w:rsidRDefault="00827879" w:rsidP="00827879">
      <w:pPr>
        <w:jc w:val="center"/>
        <w:rPr>
          <w:b/>
          <w:sz w:val="28"/>
        </w:rPr>
      </w:pPr>
    </w:p>
    <w:p w:rsidR="004138FD" w:rsidRPr="00A313BE" w:rsidRDefault="00827879" w:rsidP="00827879">
      <w:pPr>
        <w:pStyle w:val="Default"/>
        <w:ind w:left="720"/>
        <w:rPr>
          <w:color w:val="auto"/>
        </w:rPr>
      </w:pPr>
      <w:r w:rsidRPr="00A313BE">
        <w:rPr>
          <w:b/>
          <w:bCs/>
          <w:color w:val="auto"/>
          <w:lang w:val="en-US"/>
        </w:rPr>
        <w:t>1.</w:t>
      </w:r>
      <w:r w:rsidR="004138FD" w:rsidRPr="00A313BE">
        <w:rPr>
          <w:b/>
          <w:bCs/>
          <w:color w:val="auto"/>
        </w:rPr>
        <w:t xml:space="preserve">Възложител </w:t>
      </w:r>
    </w:p>
    <w:p w:rsidR="0049347D" w:rsidRPr="00A313BE" w:rsidRDefault="004138FD" w:rsidP="004138FD">
      <w:pPr>
        <w:pStyle w:val="Default"/>
        <w:rPr>
          <w:color w:val="auto"/>
        </w:rPr>
      </w:pPr>
      <w:r w:rsidRPr="00A313BE">
        <w:rPr>
          <w:color w:val="auto"/>
        </w:rPr>
        <w:t>Възложител на</w:t>
      </w:r>
      <w:r w:rsidR="00F678D1" w:rsidRPr="00A313BE">
        <w:rPr>
          <w:color w:val="auto"/>
        </w:rPr>
        <w:t xml:space="preserve"> С </w:t>
      </w:r>
      <w:r w:rsidRPr="00A313BE">
        <w:rPr>
          <w:color w:val="auto"/>
        </w:rPr>
        <w:t xml:space="preserve"> настоящата обществена поръчка, възлагана по реда на Глава двадесет и шеста от ЗОП</w:t>
      </w:r>
      <w:r w:rsidR="0049347D" w:rsidRPr="00A313BE">
        <w:rPr>
          <w:color w:val="auto"/>
        </w:rPr>
        <w:t xml:space="preserve">, </w:t>
      </w:r>
    </w:p>
    <w:p w:rsidR="004138FD" w:rsidRPr="00A313BE" w:rsidRDefault="0049347D" w:rsidP="004138FD">
      <w:pPr>
        <w:pStyle w:val="Default"/>
        <w:rPr>
          <w:color w:val="auto"/>
        </w:rPr>
      </w:pPr>
      <w:r w:rsidRPr="00A313BE">
        <w:rPr>
          <w:color w:val="auto"/>
        </w:rPr>
        <w:t xml:space="preserve"> Възложител</w:t>
      </w:r>
      <w:r w:rsidR="004138FD" w:rsidRPr="00A313BE">
        <w:rPr>
          <w:color w:val="auto"/>
        </w:rPr>
        <w:t xml:space="preserve"> е </w:t>
      </w:r>
      <w:r w:rsidR="00922CC7" w:rsidRPr="00A313BE">
        <w:rPr>
          <w:color w:val="auto"/>
        </w:rPr>
        <w:t xml:space="preserve">Държавна психиатрична болница „Св.Иван Рилски” – Нови Искър </w:t>
      </w:r>
      <w:r w:rsidR="004138FD" w:rsidRPr="00A313BE">
        <w:rPr>
          <w:color w:val="auto"/>
        </w:rPr>
        <w:t xml:space="preserve">: гр. </w:t>
      </w:r>
      <w:r w:rsidR="00922CC7" w:rsidRPr="00A313BE">
        <w:rPr>
          <w:color w:val="auto"/>
        </w:rPr>
        <w:t>Нови Искър</w:t>
      </w:r>
      <w:r w:rsidR="004138FD" w:rsidRPr="00A313BE">
        <w:rPr>
          <w:color w:val="auto"/>
        </w:rPr>
        <w:t xml:space="preserve">, </w:t>
      </w:r>
      <w:r w:rsidR="00922CC7" w:rsidRPr="00A313BE">
        <w:rPr>
          <w:color w:val="auto"/>
        </w:rPr>
        <w:t>ул.</w:t>
      </w:r>
      <w:r w:rsidR="004138FD" w:rsidRPr="00A313BE">
        <w:rPr>
          <w:color w:val="auto"/>
        </w:rPr>
        <w:t>. „</w:t>
      </w:r>
      <w:r w:rsidR="00922CC7" w:rsidRPr="00A313BE">
        <w:rPr>
          <w:color w:val="auto"/>
        </w:rPr>
        <w:t>Христо Ботев</w:t>
      </w:r>
      <w:r w:rsidR="004138FD" w:rsidRPr="00A313BE">
        <w:rPr>
          <w:color w:val="auto"/>
        </w:rPr>
        <w:t xml:space="preserve">” № </w:t>
      </w:r>
      <w:r w:rsidR="00922CC7" w:rsidRPr="00A313BE">
        <w:rPr>
          <w:color w:val="auto"/>
        </w:rPr>
        <w:t>114</w:t>
      </w:r>
      <w:r w:rsidR="004138FD" w:rsidRPr="00A313BE">
        <w:rPr>
          <w:color w:val="auto"/>
        </w:rPr>
        <w:t xml:space="preserve">, тел. </w:t>
      </w:r>
      <w:r w:rsidR="00922CC7" w:rsidRPr="00A313BE">
        <w:rPr>
          <w:color w:val="auto"/>
        </w:rPr>
        <w:t>02</w:t>
      </w:r>
      <w:r w:rsidR="004138FD" w:rsidRPr="00A313BE">
        <w:rPr>
          <w:color w:val="auto"/>
        </w:rPr>
        <w:t>/</w:t>
      </w:r>
      <w:r w:rsidR="00922CC7" w:rsidRPr="00A313BE">
        <w:rPr>
          <w:color w:val="auto"/>
        </w:rPr>
        <w:t>9917267</w:t>
      </w:r>
      <w:r w:rsidR="004138FD" w:rsidRPr="00A313BE">
        <w:rPr>
          <w:color w:val="auto"/>
        </w:rPr>
        <w:t>, факс:</w:t>
      </w:r>
      <w:r w:rsidR="00922CC7" w:rsidRPr="00A313BE">
        <w:rPr>
          <w:color w:val="auto"/>
        </w:rPr>
        <w:t>02/4185638</w:t>
      </w:r>
      <w:r w:rsidR="004138FD" w:rsidRPr="00A313BE">
        <w:rPr>
          <w:color w:val="auto"/>
        </w:rPr>
        <w:t>, e-mail:</w:t>
      </w:r>
      <w:r w:rsidR="0098539B" w:rsidRPr="00A313BE">
        <w:rPr>
          <w:color w:val="auto"/>
        </w:rPr>
        <w:t xml:space="preserve"> account_kurilo@abv.bg</w:t>
      </w:r>
      <w:r w:rsidR="004138FD" w:rsidRPr="00A313BE">
        <w:rPr>
          <w:color w:val="auto"/>
        </w:rPr>
        <w:t xml:space="preserve"> ;  интерне</w:t>
      </w:r>
      <w:r w:rsidR="002150FE" w:rsidRPr="00A313BE">
        <w:rPr>
          <w:color w:val="auto"/>
        </w:rPr>
        <w:t>т адрес: http:</w:t>
      </w:r>
      <w:r w:rsidR="004138FD" w:rsidRPr="00A313BE">
        <w:rPr>
          <w:color w:val="auto"/>
        </w:rPr>
        <w:t xml:space="preserve"> </w:t>
      </w:r>
      <w:hyperlink r:id="rId8" w:history="1">
        <w:r w:rsidR="005C2788" w:rsidRPr="00A313BE">
          <w:rPr>
            <w:rStyle w:val="Hyperlink"/>
            <w:color w:val="auto"/>
          </w:rPr>
          <w:t>www.dpbivanrilski.com</w:t>
        </w:r>
      </w:hyperlink>
      <w:r w:rsidR="0098539B" w:rsidRPr="00A313BE">
        <w:rPr>
          <w:color w:val="auto"/>
          <w:lang w:val="en-US"/>
        </w:rPr>
        <w:t>.</w:t>
      </w:r>
    </w:p>
    <w:p w:rsidR="005C2788" w:rsidRPr="00A313BE" w:rsidRDefault="005C2788" w:rsidP="004138FD">
      <w:pPr>
        <w:pStyle w:val="Default"/>
        <w:rPr>
          <w:color w:val="auto"/>
        </w:rPr>
      </w:pPr>
    </w:p>
    <w:p w:rsidR="004138FD" w:rsidRPr="00A313BE" w:rsidRDefault="0049347D" w:rsidP="004138FD">
      <w:pPr>
        <w:pStyle w:val="Default"/>
        <w:rPr>
          <w:b/>
          <w:bCs/>
          <w:color w:val="auto"/>
        </w:rPr>
      </w:pPr>
      <w:r w:rsidRPr="00A313BE">
        <w:rPr>
          <w:b/>
          <w:bCs/>
          <w:color w:val="auto"/>
        </w:rPr>
        <w:t xml:space="preserve">          </w:t>
      </w:r>
      <w:r w:rsidR="004138FD" w:rsidRPr="00A313BE">
        <w:rPr>
          <w:b/>
          <w:bCs/>
          <w:color w:val="auto"/>
        </w:rPr>
        <w:t xml:space="preserve">2. Правно основание за възлагане на поръчката </w:t>
      </w:r>
    </w:p>
    <w:p w:rsidR="004D6640" w:rsidRPr="00A313BE" w:rsidRDefault="004138FD" w:rsidP="004138FD">
      <w:pPr>
        <w:pStyle w:val="Default"/>
        <w:rPr>
          <w:color w:val="auto"/>
          <w:lang w:val="en-US"/>
        </w:rPr>
      </w:pPr>
      <w:r w:rsidRPr="00A313BE">
        <w:rPr>
          <w:color w:val="auto"/>
        </w:rPr>
        <w:t xml:space="preserve">Поръчката се възлага по реда на чл. 187, ал. 1 от ЗОП – чрез събиране на оферти с обява. </w:t>
      </w:r>
    </w:p>
    <w:p w:rsidR="005C2788" w:rsidRPr="00A313BE" w:rsidRDefault="005C2788" w:rsidP="004138FD">
      <w:pPr>
        <w:pStyle w:val="Default"/>
        <w:rPr>
          <w:color w:val="auto"/>
        </w:rPr>
      </w:pPr>
    </w:p>
    <w:p w:rsidR="00906134" w:rsidRPr="00A313BE" w:rsidRDefault="004138FD" w:rsidP="007A72F0">
      <w:pPr>
        <w:pStyle w:val="Default"/>
        <w:numPr>
          <w:ilvl w:val="0"/>
          <w:numId w:val="21"/>
        </w:numPr>
        <w:rPr>
          <w:b/>
          <w:bCs/>
          <w:color w:val="auto"/>
          <w:lang w:val="en-US"/>
        </w:rPr>
      </w:pPr>
      <w:r w:rsidRPr="00A313BE">
        <w:rPr>
          <w:b/>
          <w:bCs/>
          <w:color w:val="auto"/>
        </w:rPr>
        <w:t xml:space="preserve">Предмет на обществената поръчка </w:t>
      </w:r>
    </w:p>
    <w:p w:rsidR="007A72F0" w:rsidRPr="00A313BE" w:rsidRDefault="007A72F0" w:rsidP="007A72F0">
      <w:pPr>
        <w:pStyle w:val="Default"/>
        <w:ind w:left="720"/>
        <w:rPr>
          <w:b/>
          <w:bCs/>
          <w:color w:val="auto"/>
          <w:lang w:val="en-US"/>
        </w:rPr>
      </w:pPr>
    </w:p>
    <w:p w:rsidR="007A72F0" w:rsidRPr="00A313BE" w:rsidRDefault="007A72F0" w:rsidP="007A72F0">
      <w:pPr>
        <w:spacing w:after="0"/>
        <w:jc w:val="both"/>
        <w:rPr>
          <w:rFonts w:ascii="Times New Roman" w:hAnsi="Times New Roman" w:cs="Times New Roman"/>
          <w:b/>
          <w:sz w:val="24"/>
          <w:szCs w:val="24"/>
        </w:rPr>
      </w:pPr>
      <w:r w:rsidRPr="00A313BE">
        <w:rPr>
          <w:rFonts w:ascii="Times New Roman" w:hAnsi="Times New Roman" w:cs="Times New Roman"/>
          <w:b/>
          <w:sz w:val="24"/>
          <w:szCs w:val="24"/>
        </w:rPr>
        <w:t xml:space="preserve">Реконструкция на котелно отделение, доставка, монтаж, въвеждане в експлоатация и гаранционна поддръжка на нов водогреен котел при   ДПБ „Св. </w:t>
      </w:r>
      <w:r w:rsidRPr="00A313BE">
        <w:rPr>
          <w:rFonts w:ascii="Times New Roman" w:hAnsi="Times New Roman" w:cs="Times New Roman"/>
          <w:b/>
          <w:sz w:val="24"/>
          <w:szCs w:val="24"/>
        </w:rPr>
        <w:tab/>
        <w:t xml:space="preserve">Ив. </w:t>
      </w:r>
      <w:r w:rsidRPr="00A313BE">
        <w:rPr>
          <w:rFonts w:ascii="Times New Roman" w:hAnsi="Times New Roman" w:cs="Times New Roman"/>
          <w:b/>
          <w:sz w:val="24"/>
          <w:szCs w:val="24"/>
        </w:rPr>
        <w:tab/>
        <w:t>Рилски”</w:t>
      </w:r>
    </w:p>
    <w:p w:rsidR="005C2788" w:rsidRPr="00A313BE" w:rsidRDefault="005C2788" w:rsidP="005C2788">
      <w:pPr>
        <w:pStyle w:val="Default"/>
        <w:rPr>
          <w:b/>
          <w:color w:val="auto"/>
        </w:rPr>
      </w:pPr>
    </w:p>
    <w:p w:rsidR="00EE3CDF" w:rsidRPr="00A313BE" w:rsidRDefault="00EE3CDF" w:rsidP="004138FD">
      <w:pPr>
        <w:pStyle w:val="Default"/>
        <w:rPr>
          <w:color w:val="auto"/>
        </w:rPr>
      </w:pPr>
    </w:p>
    <w:p w:rsidR="004138FD" w:rsidRPr="00A313BE" w:rsidRDefault="0049347D" w:rsidP="004138FD">
      <w:pPr>
        <w:pStyle w:val="Default"/>
        <w:rPr>
          <w:color w:val="auto"/>
        </w:rPr>
      </w:pPr>
      <w:r w:rsidRPr="00A313BE">
        <w:rPr>
          <w:b/>
          <w:bCs/>
          <w:color w:val="auto"/>
        </w:rPr>
        <w:t xml:space="preserve">        </w:t>
      </w:r>
      <w:r w:rsidR="004138FD" w:rsidRPr="00A313BE">
        <w:rPr>
          <w:b/>
          <w:bCs/>
          <w:color w:val="auto"/>
        </w:rPr>
        <w:t xml:space="preserve">4. Обект </w:t>
      </w:r>
    </w:p>
    <w:p w:rsidR="004138FD" w:rsidRPr="00A313BE" w:rsidRDefault="00517A6B" w:rsidP="004138FD">
      <w:pPr>
        <w:pStyle w:val="Default"/>
        <w:rPr>
          <w:color w:val="auto"/>
        </w:rPr>
      </w:pPr>
      <w:r>
        <w:rPr>
          <w:color w:val="auto"/>
        </w:rPr>
        <w:t xml:space="preserve">Доставка </w:t>
      </w:r>
      <w:r w:rsidR="004138FD" w:rsidRPr="00A313BE">
        <w:rPr>
          <w:color w:val="auto"/>
        </w:rPr>
        <w:t xml:space="preserve"> по смисъла на чл. 3, ал. </w:t>
      </w:r>
      <w:r w:rsidR="00921E0D" w:rsidRPr="00A313BE">
        <w:rPr>
          <w:color w:val="auto"/>
          <w:lang w:val="en-US"/>
        </w:rPr>
        <w:t>2</w:t>
      </w:r>
      <w:r w:rsidR="004138FD" w:rsidRPr="00A313BE">
        <w:rPr>
          <w:color w:val="auto"/>
        </w:rPr>
        <w:t xml:space="preserve"> от Закона за обществените поръчки (ЗОП). </w:t>
      </w:r>
    </w:p>
    <w:p w:rsidR="005C2788" w:rsidRPr="00A313BE" w:rsidRDefault="005C2788" w:rsidP="004138FD">
      <w:pPr>
        <w:pStyle w:val="Default"/>
        <w:rPr>
          <w:color w:val="auto"/>
        </w:rPr>
      </w:pPr>
    </w:p>
    <w:p w:rsidR="004138FD" w:rsidRPr="00A313BE" w:rsidRDefault="004138FD" w:rsidP="004138FD">
      <w:pPr>
        <w:pStyle w:val="Default"/>
        <w:rPr>
          <w:color w:val="auto"/>
        </w:rPr>
      </w:pPr>
      <w:r w:rsidRPr="00A313BE">
        <w:rPr>
          <w:b/>
          <w:bCs/>
          <w:color w:val="auto"/>
        </w:rPr>
        <w:t xml:space="preserve">5. Ред и правно основание за възлагане на обществената поръчка: </w:t>
      </w:r>
    </w:p>
    <w:p w:rsidR="004138FD" w:rsidRPr="00A313BE" w:rsidRDefault="004138FD" w:rsidP="004138FD">
      <w:pPr>
        <w:pStyle w:val="Default"/>
        <w:rPr>
          <w:color w:val="auto"/>
        </w:rPr>
      </w:pPr>
      <w:r w:rsidRPr="00A313BE">
        <w:rPr>
          <w:color w:val="auto"/>
        </w:rPr>
        <w:t xml:space="preserve">Събиране на оферти с обява на основание чл. 186 - чл. 195 във връзка с чл. 20, ал. 3, т. </w:t>
      </w:r>
      <w:r w:rsidR="005A5DD7" w:rsidRPr="00A313BE">
        <w:rPr>
          <w:color w:val="auto"/>
          <w:lang w:val="en-US"/>
        </w:rPr>
        <w:t>2</w:t>
      </w:r>
      <w:r w:rsidRPr="00A313BE">
        <w:rPr>
          <w:color w:val="auto"/>
        </w:rPr>
        <w:t xml:space="preserve"> от ЗОП. </w:t>
      </w:r>
    </w:p>
    <w:p w:rsidR="005C2788" w:rsidRPr="00A313BE" w:rsidRDefault="005C2788" w:rsidP="004138FD">
      <w:pPr>
        <w:pStyle w:val="Default"/>
        <w:rPr>
          <w:color w:val="auto"/>
        </w:rPr>
      </w:pPr>
    </w:p>
    <w:p w:rsidR="004138FD" w:rsidRPr="00A313BE" w:rsidRDefault="004138FD" w:rsidP="004138FD">
      <w:pPr>
        <w:pStyle w:val="Default"/>
        <w:rPr>
          <w:color w:val="auto"/>
        </w:rPr>
      </w:pPr>
      <w:r w:rsidRPr="00A313BE">
        <w:rPr>
          <w:b/>
          <w:bCs/>
          <w:color w:val="auto"/>
        </w:rPr>
        <w:t xml:space="preserve">6. Срок за изпълнение на обществената поръчка: </w:t>
      </w:r>
    </w:p>
    <w:p w:rsidR="004138FD" w:rsidRPr="00A313BE" w:rsidRDefault="004138FD" w:rsidP="004138FD">
      <w:pPr>
        <w:pStyle w:val="Default"/>
        <w:rPr>
          <w:color w:val="auto"/>
        </w:rPr>
      </w:pPr>
      <w:r w:rsidRPr="00A313BE">
        <w:rPr>
          <w:i/>
          <w:iCs/>
          <w:color w:val="auto"/>
        </w:rPr>
        <w:t xml:space="preserve">6.1. </w:t>
      </w:r>
      <w:r w:rsidRPr="00A313BE">
        <w:rPr>
          <w:color w:val="auto"/>
        </w:rPr>
        <w:t xml:space="preserve"> до </w:t>
      </w:r>
      <w:r w:rsidR="003212E1" w:rsidRPr="00A313BE">
        <w:rPr>
          <w:color w:val="auto"/>
        </w:rPr>
        <w:t>2</w:t>
      </w:r>
      <w:r w:rsidRPr="00A313BE">
        <w:rPr>
          <w:color w:val="auto"/>
        </w:rPr>
        <w:t xml:space="preserve"> месеца считано от датата на съставяне и подписване на протокол  за откриване на </w:t>
      </w:r>
      <w:r w:rsidR="003212E1" w:rsidRPr="00A313BE">
        <w:rPr>
          <w:color w:val="auto"/>
        </w:rPr>
        <w:t>доставно-монтажни и експлотационни дейности</w:t>
      </w:r>
      <w:r w:rsidR="00143A26" w:rsidRPr="00A313BE">
        <w:rPr>
          <w:color w:val="auto"/>
          <w:lang w:val="en-US"/>
        </w:rPr>
        <w:t>.</w:t>
      </w:r>
      <w:r w:rsidRPr="00A313BE">
        <w:rPr>
          <w:color w:val="auto"/>
        </w:rPr>
        <w:t xml:space="preserve"> </w:t>
      </w:r>
    </w:p>
    <w:p w:rsidR="005C2788" w:rsidRPr="00A313BE" w:rsidRDefault="005C2788" w:rsidP="004138FD">
      <w:pPr>
        <w:pStyle w:val="Default"/>
        <w:rPr>
          <w:color w:val="auto"/>
        </w:rPr>
      </w:pPr>
    </w:p>
    <w:p w:rsidR="005C2788" w:rsidRPr="00A313BE" w:rsidRDefault="005C2788" w:rsidP="004138FD">
      <w:pPr>
        <w:pStyle w:val="Default"/>
        <w:rPr>
          <w:color w:val="auto"/>
        </w:rPr>
      </w:pPr>
    </w:p>
    <w:p w:rsidR="004138FD" w:rsidRPr="00A313BE" w:rsidRDefault="004138FD" w:rsidP="004138FD">
      <w:pPr>
        <w:pStyle w:val="Default"/>
        <w:rPr>
          <w:b/>
          <w:bCs/>
          <w:color w:val="auto"/>
        </w:rPr>
      </w:pPr>
      <w:r w:rsidRPr="00A313BE">
        <w:rPr>
          <w:b/>
          <w:bCs/>
          <w:color w:val="auto"/>
        </w:rPr>
        <w:t xml:space="preserve">7. Място за изпълнение на поръчката: </w:t>
      </w:r>
    </w:p>
    <w:p w:rsidR="005C2788" w:rsidRPr="00A313BE" w:rsidRDefault="001F4B28" w:rsidP="004138FD">
      <w:pPr>
        <w:pStyle w:val="Default"/>
        <w:rPr>
          <w:color w:val="auto"/>
        </w:rPr>
      </w:pPr>
      <w:r w:rsidRPr="00A313BE">
        <w:rPr>
          <w:color w:val="auto"/>
        </w:rPr>
        <w:t>Държавна психиатрична болница „Св.Иван Рилски” – Нови Искър : гр. Нови</w:t>
      </w:r>
      <w:r w:rsidR="00CF60A4" w:rsidRPr="00A313BE">
        <w:rPr>
          <w:color w:val="auto"/>
        </w:rPr>
        <w:t xml:space="preserve"> Искър, ул.. „Христо Ботев” № 140</w:t>
      </w:r>
      <w:r w:rsidR="00B86110" w:rsidRPr="00A313BE">
        <w:rPr>
          <w:color w:val="auto"/>
          <w:lang w:val="en-US"/>
        </w:rPr>
        <w:t xml:space="preserve"> – </w:t>
      </w:r>
      <w:r w:rsidR="00B86110" w:rsidRPr="00A313BE">
        <w:rPr>
          <w:color w:val="auto"/>
        </w:rPr>
        <w:t>котелно</w:t>
      </w:r>
    </w:p>
    <w:p w:rsidR="004138FD" w:rsidRPr="00A313BE" w:rsidRDefault="004138FD" w:rsidP="004138FD">
      <w:pPr>
        <w:pStyle w:val="Default"/>
        <w:rPr>
          <w:color w:val="auto"/>
        </w:rPr>
      </w:pPr>
      <w:r w:rsidRPr="00A313BE">
        <w:rPr>
          <w:color w:val="auto"/>
        </w:rPr>
        <w:t xml:space="preserve"> </w:t>
      </w:r>
    </w:p>
    <w:p w:rsidR="005C2788" w:rsidRPr="00A313BE" w:rsidRDefault="005C2788" w:rsidP="004138FD">
      <w:pPr>
        <w:pStyle w:val="Default"/>
        <w:rPr>
          <w:color w:val="auto"/>
        </w:rPr>
      </w:pPr>
    </w:p>
    <w:p w:rsidR="004138FD" w:rsidRPr="00A313BE" w:rsidRDefault="004138FD" w:rsidP="004138FD">
      <w:pPr>
        <w:pStyle w:val="Default"/>
        <w:rPr>
          <w:color w:val="auto"/>
        </w:rPr>
      </w:pPr>
      <w:r w:rsidRPr="00A313BE">
        <w:rPr>
          <w:b/>
          <w:bCs/>
          <w:color w:val="auto"/>
        </w:rPr>
        <w:t xml:space="preserve">8. Прогнозна стойност: </w:t>
      </w:r>
    </w:p>
    <w:p w:rsidR="004138FD" w:rsidRPr="00A313BE" w:rsidRDefault="004138FD" w:rsidP="004138FD">
      <w:pPr>
        <w:pStyle w:val="Default"/>
        <w:rPr>
          <w:color w:val="auto"/>
        </w:rPr>
      </w:pPr>
      <w:r w:rsidRPr="00A313BE">
        <w:rPr>
          <w:i/>
          <w:iCs/>
          <w:color w:val="auto"/>
        </w:rPr>
        <w:t>8.1.</w:t>
      </w:r>
      <w:r w:rsidR="00AB7DDB" w:rsidRPr="00A313BE">
        <w:rPr>
          <w:i/>
          <w:iCs/>
          <w:color w:val="auto"/>
        </w:rPr>
        <w:t xml:space="preserve">    </w:t>
      </w:r>
      <w:r w:rsidR="00AB7DDB" w:rsidRPr="00A313BE">
        <w:rPr>
          <w:b/>
          <w:i/>
          <w:iCs/>
          <w:color w:val="auto"/>
        </w:rPr>
        <w:t>55 833</w:t>
      </w:r>
      <w:r w:rsidRPr="00A313BE">
        <w:rPr>
          <w:b/>
          <w:bCs/>
          <w:color w:val="auto"/>
        </w:rPr>
        <w:t xml:space="preserve">,00 </w:t>
      </w:r>
      <w:r w:rsidRPr="00A313BE">
        <w:rPr>
          <w:color w:val="auto"/>
        </w:rPr>
        <w:t>(</w:t>
      </w:r>
      <w:r w:rsidR="00E22766" w:rsidRPr="00A313BE">
        <w:rPr>
          <w:color w:val="auto"/>
        </w:rPr>
        <w:t>петдесет</w:t>
      </w:r>
      <w:r w:rsidR="00AB7DDB" w:rsidRPr="00A313BE">
        <w:rPr>
          <w:color w:val="auto"/>
        </w:rPr>
        <w:t xml:space="preserve"> и пет </w:t>
      </w:r>
      <w:r w:rsidR="00E22766" w:rsidRPr="00A313BE">
        <w:rPr>
          <w:color w:val="auto"/>
        </w:rPr>
        <w:t xml:space="preserve"> хиляди</w:t>
      </w:r>
      <w:r w:rsidR="00AB7DDB" w:rsidRPr="00A313BE">
        <w:rPr>
          <w:color w:val="auto"/>
        </w:rPr>
        <w:t xml:space="preserve"> осемстотин тридесет и три </w:t>
      </w:r>
      <w:r w:rsidRPr="00A313BE">
        <w:rPr>
          <w:color w:val="auto"/>
        </w:rPr>
        <w:t xml:space="preserve">) лева без ДДС.  </w:t>
      </w:r>
    </w:p>
    <w:p w:rsidR="00DF4FD2" w:rsidRPr="00A313BE" w:rsidRDefault="00DF4FD2" w:rsidP="004138FD">
      <w:pPr>
        <w:pStyle w:val="Default"/>
        <w:rPr>
          <w:color w:val="auto"/>
        </w:rPr>
      </w:pPr>
    </w:p>
    <w:p w:rsidR="00DF4FD2" w:rsidRPr="00A313BE" w:rsidRDefault="00DF4FD2" w:rsidP="004138FD">
      <w:pPr>
        <w:pStyle w:val="Default"/>
        <w:rPr>
          <w:color w:val="auto"/>
        </w:rPr>
      </w:pPr>
    </w:p>
    <w:p w:rsidR="004138FD" w:rsidRPr="00A313BE" w:rsidRDefault="004138FD" w:rsidP="004138FD">
      <w:pPr>
        <w:pStyle w:val="Default"/>
        <w:rPr>
          <w:i/>
          <w:color w:val="auto"/>
        </w:rPr>
      </w:pPr>
      <w:r w:rsidRPr="00A313BE">
        <w:rPr>
          <w:i/>
          <w:color w:val="auto"/>
        </w:rPr>
        <w:t xml:space="preserve">Прогнозната стойност  е и максимална стойност за изпълнение на предвидените дейности и същата не може да бъде надвишавана. Цената за отделните видове дейности трябва да е в български лева без ДДС и с точност до втория знак след десетичната запетая. </w:t>
      </w:r>
    </w:p>
    <w:p w:rsidR="004138FD" w:rsidRPr="00A313BE" w:rsidRDefault="004138FD" w:rsidP="004138FD">
      <w:pPr>
        <w:pStyle w:val="Default"/>
        <w:rPr>
          <w:i/>
          <w:color w:val="auto"/>
        </w:rPr>
      </w:pPr>
      <w:r w:rsidRPr="00A313BE">
        <w:rPr>
          <w:i/>
          <w:color w:val="auto"/>
        </w:rPr>
        <w:t xml:space="preserve">За остойностяване на своята оферта изпълнителят следва са предвиди всички разходи за изпълнение </w:t>
      </w:r>
      <w:r w:rsidR="00AB7DDB" w:rsidRPr="00A313BE">
        <w:rPr>
          <w:i/>
          <w:color w:val="auto"/>
        </w:rPr>
        <w:t xml:space="preserve">доставни и </w:t>
      </w:r>
      <w:r w:rsidRPr="00A313BE">
        <w:rPr>
          <w:i/>
          <w:color w:val="auto"/>
        </w:rPr>
        <w:t xml:space="preserve"> строително-монтажните работи (използваните материали, труд, </w:t>
      </w:r>
      <w:r w:rsidR="00AB7DDB" w:rsidRPr="00A313BE">
        <w:rPr>
          <w:i/>
          <w:color w:val="auto"/>
        </w:rPr>
        <w:t>ме</w:t>
      </w:r>
      <w:r w:rsidRPr="00A313BE">
        <w:rPr>
          <w:i/>
          <w:color w:val="auto"/>
        </w:rPr>
        <w:t xml:space="preserve">ханизация, печалба и др.). </w:t>
      </w:r>
    </w:p>
    <w:p w:rsidR="001B2C07" w:rsidRPr="00A313BE" w:rsidRDefault="001B2C07" w:rsidP="004138FD">
      <w:pPr>
        <w:pStyle w:val="Default"/>
        <w:rPr>
          <w:color w:val="auto"/>
        </w:rPr>
      </w:pPr>
    </w:p>
    <w:p w:rsidR="004138FD" w:rsidRPr="00A313BE" w:rsidRDefault="004138FD" w:rsidP="004138FD">
      <w:pPr>
        <w:pStyle w:val="Default"/>
        <w:rPr>
          <w:b/>
          <w:bCs/>
          <w:color w:val="auto"/>
        </w:rPr>
      </w:pPr>
      <w:r w:rsidRPr="00A313BE">
        <w:rPr>
          <w:b/>
          <w:bCs/>
          <w:color w:val="auto"/>
        </w:rPr>
        <w:t xml:space="preserve">9. Начин на плащане: </w:t>
      </w:r>
      <w:r w:rsidR="00A931E4" w:rsidRPr="00A313BE">
        <w:rPr>
          <w:b/>
          <w:bCs/>
          <w:color w:val="auto"/>
        </w:rPr>
        <w:t xml:space="preserve"> </w:t>
      </w:r>
      <w:r w:rsidR="00DF4FD2" w:rsidRPr="00A313BE">
        <w:rPr>
          <w:b/>
          <w:bCs/>
          <w:color w:val="auto"/>
        </w:rPr>
        <w:t xml:space="preserve"> </w:t>
      </w:r>
    </w:p>
    <w:p w:rsidR="00086B6B" w:rsidRPr="00A313BE" w:rsidRDefault="004138FD" w:rsidP="00086B6B">
      <w:pPr>
        <w:pStyle w:val="Default"/>
        <w:rPr>
          <w:color w:val="auto"/>
        </w:rPr>
      </w:pPr>
      <w:r w:rsidRPr="00A313BE">
        <w:rPr>
          <w:color w:val="auto"/>
        </w:rPr>
        <w:lastRenderedPageBreak/>
        <w:t xml:space="preserve">1. Авансово плащане - в размер на 30% от стойността на договора без ДДС платимо в срок до </w:t>
      </w:r>
      <w:r w:rsidR="004E217A" w:rsidRPr="00A313BE">
        <w:rPr>
          <w:color w:val="auto"/>
          <w:lang w:val="en-US"/>
        </w:rPr>
        <w:t>30</w:t>
      </w:r>
      <w:r w:rsidR="00CF60A4" w:rsidRPr="00A313BE">
        <w:rPr>
          <w:color w:val="auto"/>
          <w:u w:val="single"/>
        </w:rPr>
        <w:t>/</w:t>
      </w:r>
      <w:r w:rsidR="004E217A" w:rsidRPr="00A313BE">
        <w:rPr>
          <w:color w:val="auto"/>
          <w:u w:val="single"/>
        </w:rPr>
        <w:t>тридесет</w:t>
      </w:r>
      <w:r w:rsidR="00CF60A4" w:rsidRPr="00A313BE">
        <w:rPr>
          <w:color w:val="auto"/>
        </w:rPr>
        <w:t>/</w:t>
      </w:r>
      <w:r w:rsidRPr="00A313BE">
        <w:rPr>
          <w:color w:val="auto"/>
        </w:rPr>
        <w:t xml:space="preserve">  календарни дни</w:t>
      </w:r>
      <w:r w:rsidR="00641B1B" w:rsidRPr="00A313BE">
        <w:rPr>
          <w:color w:val="auto"/>
        </w:rPr>
        <w:t xml:space="preserve">/ </w:t>
      </w:r>
      <w:r w:rsidRPr="00A313BE">
        <w:rPr>
          <w:color w:val="auto"/>
        </w:rPr>
        <w:t xml:space="preserve"> от</w:t>
      </w:r>
      <w:r w:rsidR="00641B1B" w:rsidRPr="00A313BE">
        <w:rPr>
          <w:color w:val="auto"/>
        </w:rPr>
        <w:t xml:space="preserve"> </w:t>
      </w:r>
      <w:r w:rsidRPr="00A313BE">
        <w:rPr>
          <w:color w:val="auto"/>
        </w:rPr>
        <w:t xml:space="preserve"> </w:t>
      </w:r>
      <w:r w:rsidR="00641B1B" w:rsidRPr="00A313BE">
        <w:rPr>
          <w:color w:val="auto"/>
          <w:u w:val="single"/>
        </w:rPr>
        <w:t xml:space="preserve"> </w:t>
      </w:r>
      <w:r w:rsidRPr="00A313BE">
        <w:rPr>
          <w:color w:val="auto"/>
        </w:rPr>
        <w:t xml:space="preserve">съставяне на протокола </w:t>
      </w:r>
      <w:r w:rsidR="00086B6B" w:rsidRPr="00A313BE">
        <w:rPr>
          <w:color w:val="auto"/>
        </w:rPr>
        <w:t>за откриване на доставно-монтажни и експлотационни дейности</w:t>
      </w:r>
      <w:r w:rsidR="00086B6B" w:rsidRPr="00A313BE">
        <w:rPr>
          <w:color w:val="auto"/>
          <w:lang w:val="en-US"/>
        </w:rPr>
        <w:t>.</w:t>
      </w:r>
      <w:r w:rsidR="00086B6B" w:rsidRPr="00A313BE">
        <w:rPr>
          <w:color w:val="auto"/>
        </w:rPr>
        <w:t xml:space="preserve"> </w:t>
      </w:r>
    </w:p>
    <w:p w:rsidR="004138FD" w:rsidRPr="00A313BE" w:rsidRDefault="004138FD" w:rsidP="001B2C07">
      <w:pPr>
        <w:pStyle w:val="Default"/>
        <w:jc w:val="both"/>
        <w:rPr>
          <w:color w:val="auto"/>
        </w:rPr>
      </w:pPr>
      <w:r w:rsidRPr="00A313BE">
        <w:rPr>
          <w:color w:val="auto"/>
        </w:rPr>
        <w:t>2. Междинни плащания – в размер до 60% от стойността на договора без ДДС платими в срок до 30 (тридесет) календарни дни от приемането на изпълнението с приемо-предавател</w:t>
      </w:r>
      <w:r w:rsidR="001B2C07" w:rsidRPr="00A313BE">
        <w:rPr>
          <w:color w:val="auto"/>
        </w:rPr>
        <w:t xml:space="preserve">ен </w:t>
      </w:r>
      <w:r w:rsidRPr="00A313BE">
        <w:rPr>
          <w:color w:val="auto"/>
        </w:rPr>
        <w:t xml:space="preserve"> протокол за установяване на реално извършените и подлежащи на заплащане на натурални видове строителни и монтажни работи и представяне на фактура от страна на ИЗПЪЛНИТЕЛЯ. </w:t>
      </w:r>
    </w:p>
    <w:p w:rsidR="00680456" w:rsidRPr="00A313BE" w:rsidRDefault="004138FD" w:rsidP="00B1577B">
      <w:pPr>
        <w:pStyle w:val="Default"/>
        <w:jc w:val="both"/>
        <w:rPr>
          <w:i/>
          <w:iCs/>
          <w:color w:val="auto"/>
        </w:rPr>
      </w:pPr>
      <w:r w:rsidRPr="00A313BE">
        <w:rPr>
          <w:color w:val="auto"/>
        </w:rPr>
        <w:t xml:space="preserve">3. Окончателното плащане ще е сумата, равна на разликата между по-малкото от стойността на договора между </w:t>
      </w:r>
      <w:r w:rsidRPr="00A313BE">
        <w:rPr>
          <w:b/>
          <w:bCs/>
          <w:color w:val="auto"/>
        </w:rPr>
        <w:t xml:space="preserve">ВЪЗЛОЖИТЕЛЯ </w:t>
      </w:r>
      <w:r w:rsidRPr="00A313BE">
        <w:rPr>
          <w:color w:val="auto"/>
        </w:rPr>
        <w:t xml:space="preserve">и </w:t>
      </w:r>
      <w:r w:rsidRPr="00A313BE">
        <w:rPr>
          <w:b/>
          <w:bCs/>
          <w:color w:val="auto"/>
        </w:rPr>
        <w:t xml:space="preserve">ИЗПЪЛНИТЕЛЯ </w:t>
      </w:r>
      <w:r w:rsidRPr="00A313BE">
        <w:rPr>
          <w:color w:val="auto"/>
        </w:rPr>
        <w:t xml:space="preserve">и действително извършените дейности и общата сума от авансовото и междинните плащания. От него се приспадат всички неустойки, обезщетения и други дължими от </w:t>
      </w:r>
      <w:r w:rsidRPr="00A313BE">
        <w:rPr>
          <w:b/>
          <w:bCs/>
          <w:color w:val="auto"/>
        </w:rPr>
        <w:t xml:space="preserve">ИЗПЪЛНИТЕЛЯ </w:t>
      </w:r>
      <w:r w:rsidRPr="00A313BE">
        <w:rPr>
          <w:color w:val="auto"/>
        </w:rPr>
        <w:t xml:space="preserve">суми за стойността, с които се надвишава внесената гаранция за добро изпълнение. </w:t>
      </w:r>
    </w:p>
    <w:p w:rsidR="007E7023" w:rsidRPr="00A313BE" w:rsidRDefault="007E7023" w:rsidP="00680456">
      <w:pPr>
        <w:pStyle w:val="Default"/>
        <w:rPr>
          <w:color w:val="auto"/>
        </w:rPr>
      </w:pPr>
    </w:p>
    <w:p w:rsidR="005C6BC4" w:rsidRPr="00A313BE" w:rsidRDefault="005C6BC4" w:rsidP="005C6BC4">
      <w:pPr>
        <w:pStyle w:val="Default"/>
        <w:jc w:val="both"/>
        <w:rPr>
          <w:color w:val="auto"/>
        </w:rPr>
      </w:pPr>
      <w:r w:rsidRPr="00A313BE">
        <w:rPr>
          <w:b/>
          <w:bCs/>
          <w:color w:val="auto"/>
        </w:rPr>
        <w:t>ИЗПЪЛНИТЕЛЯ</w:t>
      </w:r>
      <w:r w:rsidRPr="00A313BE">
        <w:rPr>
          <w:color w:val="auto"/>
        </w:rPr>
        <w:t xml:space="preserve">. </w:t>
      </w:r>
    </w:p>
    <w:p w:rsidR="004138FD" w:rsidRPr="00A313BE" w:rsidRDefault="004138FD" w:rsidP="004138FD">
      <w:pPr>
        <w:pStyle w:val="Default"/>
        <w:rPr>
          <w:color w:val="auto"/>
        </w:rPr>
      </w:pPr>
      <w:r w:rsidRPr="00A313BE">
        <w:rPr>
          <w:b/>
          <w:bCs/>
          <w:color w:val="auto"/>
        </w:rPr>
        <w:t xml:space="preserve">10. Критерий за възлагане на обществената поръчка: </w:t>
      </w:r>
      <w:r w:rsidR="00AD268E" w:rsidRPr="00A313BE">
        <w:rPr>
          <w:b/>
          <w:bCs/>
          <w:color w:val="auto"/>
        </w:rPr>
        <w:t xml:space="preserve"> </w:t>
      </w:r>
    </w:p>
    <w:p w:rsidR="004138FD" w:rsidRPr="00A313BE" w:rsidRDefault="004138FD" w:rsidP="00E06316">
      <w:pPr>
        <w:pStyle w:val="Default"/>
        <w:jc w:val="both"/>
        <w:rPr>
          <w:color w:val="auto"/>
        </w:rPr>
      </w:pPr>
      <w:r w:rsidRPr="00A313BE">
        <w:rPr>
          <w:color w:val="auto"/>
        </w:rPr>
        <w:t xml:space="preserve">Обществената поръчка се възлага въз основа на икономически най-изгодната оферта, определена въз основа на критерия „Оптимално съотношение </w:t>
      </w:r>
      <w:r w:rsidR="00B44B70" w:rsidRPr="00A313BE">
        <w:rPr>
          <w:color w:val="auto"/>
        </w:rPr>
        <w:t>цена</w:t>
      </w:r>
      <w:r w:rsidRPr="00A313BE">
        <w:rPr>
          <w:color w:val="auto"/>
        </w:rPr>
        <w:t>/</w:t>
      </w:r>
      <w:r w:rsidR="00B44B70" w:rsidRPr="00A313BE">
        <w:rPr>
          <w:color w:val="auto"/>
        </w:rPr>
        <w:t xml:space="preserve">срок на изпълнение и срок на гаранционна поддръжка </w:t>
      </w:r>
      <w:r w:rsidRPr="00A313BE">
        <w:rPr>
          <w:color w:val="auto"/>
        </w:rPr>
        <w:t xml:space="preserve"> – Методика за оценка. </w:t>
      </w:r>
    </w:p>
    <w:p w:rsidR="004138FD" w:rsidRPr="00A313BE" w:rsidRDefault="004138FD" w:rsidP="004138FD">
      <w:pPr>
        <w:pStyle w:val="Default"/>
        <w:rPr>
          <w:b/>
          <w:bCs/>
          <w:i/>
          <w:color w:val="auto"/>
        </w:rPr>
      </w:pPr>
      <w:r w:rsidRPr="00A313BE">
        <w:rPr>
          <w:b/>
          <w:bCs/>
          <w:i/>
          <w:color w:val="auto"/>
        </w:rPr>
        <w:t xml:space="preserve">11. Минимални изисквания, на които трябва да отговарят участниците и документи, които трябва да представят: </w:t>
      </w:r>
    </w:p>
    <w:p w:rsidR="009D477E" w:rsidRPr="00A313BE" w:rsidRDefault="009D477E" w:rsidP="004138FD">
      <w:pPr>
        <w:pStyle w:val="Default"/>
        <w:rPr>
          <w:color w:val="auto"/>
        </w:rPr>
      </w:pPr>
    </w:p>
    <w:p w:rsidR="004138FD" w:rsidRPr="00A313BE" w:rsidRDefault="004138FD" w:rsidP="004138FD">
      <w:pPr>
        <w:pStyle w:val="Default"/>
        <w:rPr>
          <w:color w:val="auto"/>
        </w:rPr>
      </w:pPr>
      <w:r w:rsidRPr="00A313BE">
        <w:rPr>
          <w:b/>
          <w:bCs/>
          <w:color w:val="auto"/>
        </w:rPr>
        <w:t xml:space="preserve">11.1. Общи условия за участие: </w:t>
      </w:r>
    </w:p>
    <w:p w:rsidR="004138FD" w:rsidRPr="00A313BE" w:rsidRDefault="004138FD" w:rsidP="00D63C6A">
      <w:pPr>
        <w:pStyle w:val="Default"/>
        <w:jc w:val="both"/>
        <w:rPr>
          <w:color w:val="auto"/>
        </w:rPr>
      </w:pPr>
      <w:r w:rsidRPr="00A313BE">
        <w:rPr>
          <w:b/>
          <w:bCs/>
          <w:color w:val="auto"/>
        </w:rPr>
        <w:t xml:space="preserve">11.1.1. </w:t>
      </w:r>
      <w:r w:rsidRPr="00A313BE">
        <w:rPr>
          <w:color w:val="auto"/>
        </w:rPr>
        <w:t xml:space="preserve">В обществената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дейностите предмет на поръчката, съгласно законодателството на страната в която е установено, който отговаря на условията, посочени в ЗОП, ППЗОП и посочените в настоящата обява указания за участие и изисквания на Възложителя. </w:t>
      </w:r>
    </w:p>
    <w:p w:rsidR="00E375C9" w:rsidRPr="00A313BE" w:rsidRDefault="004138FD" w:rsidP="00E375C9">
      <w:pPr>
        <w:pStyle w:val="Default"/>
        <w:jc w:val="both"/>
        <w:rPr>
          <w:color w:val="auto"/>
        </w:rPr>
      </w:pPr>
      <w:r w:rsidRPr="00A313BE">
        <w:rPr>
          <w:color w:val="auto"/>
        </w:rPr>
        <w:t xml:space="preserve">Не се предвижда изискване за създаване на юридическо лице, когато участникът, определен за изпълнител, е обединение на физически и/или юридически лица; </w:t>
      </w:r>
    </w:p>
    <w:p w:rsidR="00867429" w:rsidRPr="00A313BE" w:rsidRDefault="004138FD" w:rsidP="00E375C9">
      <w:pPr>
        <w:pStyle w:val="Default"/>
        <w:jc w:val="both"/>
        <w:rPr>
          <w:color w:val="auto"/>
        </w:rPr>
      </w:pPr>
      <w:r w:rsidRPr="00A313BE">
        <w:rPr>
          <w:b/>
          <w:bCs/>
          <w:color w:val="auto"/>
        </w:rPr>
        <w:t xml:space="preserve">11.1.2. </w:t>
      </w:r>
      <w:r w:rsidRPr="00A313BE">
        <w:rPr>
          <w:color w:val="auto"/>
        </w:rPr>
        <w:t xml:space="preserve">Всеки от участниците във възлагането на обществената поръчка се представлява от лице, което има спрямо участника представителна власт по закон, или от изрично упълномощен негов представител. Пълномощното следва да съдържа всички данни на </w:t>
      </w:r>
      <w:r w:rsidR="00867429" w:rsidRPr="00A313BE">
        <w:rPr>
          <w:color w:val="auto"/>
        </w:rPr>
        <w:t xml:space="preserve">лицата (упълномощен и упълномощител), както и изрично изявление, че упълномощеното лице има право да подпише офертата, да представлява участника в процедурата и/или за извършването на съответното действие, което е извършено от пълномощник. </w:t>
      </w:r>
    </w:p>
    <w:p w:rsidR="00867429" w:rsidRPr="00A313BE" w:rsidRDefault="00867429" w:rsidP="008A7654">
      <w:pPr>
        <w:pStyle w:val="Default"/>
        <w:jc w:val="both"/>
        <w:rPr>
          <w:color w:val="auto"/>
        </w:rPr>
      </w:pPr>
      <w:r w:rsidRPr="00A313BE">
        <w:rPr>
          <w:b/>
          <w:bCs/>
          <w:color w:val="auto"/>
        </w:rPr>
        <w:t xml:space="preserve">11.1.3. </w:t>
      </w:r>
      <w:r w:rsidRPr="00A313BE">
        <w:rPr>
          <w:color w:val="auto"/>
        </w:rPr>
        <w:t xml:space="preserve">Когато участникът е обединение, той задължително представя: </w:t>
      </w:r>
    </w:p>
    <w:p w:rsidR="00867429" w:rsidRPr="00A313BE" w:rsidRDefault="00867429" w:rsidP="008A7654">
      <w:pPr>
        <w:pStyle w:val="Default"/>
        <w:jc w:val="both"/>
        <w:rPr>
          <w:color w:val="auto"/>
        </w:rPr>
      </w:pPr>
      <w:r w:rsidRPr="00A313BE">
        <w:rPr>
          <w:b/>
          <w:bCs/>
          <w:color w:val="auto"/>
        </w:rPr>
        <w:t xml:space="preserve">11.1.3.1. </w:t>
      </w:r>
      <w:r w:rsidRPr="00A313BE">
        <w:rPr>
          <w:color w:val="auto"/>
        </w:rPr>
        <w:t xml:space="preserve">Документ за определяне на партньор, който да представлява обединението за целите на настоящата обществена поръчка; </w:t>
      </w:r>
    </w:p>
    <w:p w:rsidR="00867429" w:rsidRPr="00A313BE" w:rsidRDefault="00867429" w:rsidP="008A7654">
      <w:pPr>
        <w:pStyle w:val="Default"/>
        <w:jc w:val="both"/>
        <w:rPr>
          <w:color w:val="auto"/>
        </w:rPr>
      </w:pPr>
      <w:r w:rsidRPr="00A313BE">
        <w:rPr>
          <w:b/>
          <w:bCs/>
          <w:color w:val="auto"/>
        </w:rPr>
        <w:t xml:space="preserve">11.1.3.2. </w:t>
      </w:r>
      <w:r w:rsidRPr="00A313BE">
        <w:rPr>
          <w:color w:val="auto"/>
        </w:rPr>
        <w:t xml:space="preserve">Копие от документ, от който да е видно правно основание за уговаряне на солидарна отговорност между членовете на обединението по отношение на изпълнението на настоящата обществена поръчка. </w:t>
      </w:r>
    </w:p>
    <w:p w:rsidR="00867429" w:rsidRPr="00A313BE" w:rsidRDefault="00867429" w:rsidP="008A7654">
      <w:pPr>
        <w:pStyle w:val="Default"/>
        <w:jc w:val="both"/>
        <w:rPr>
          <w:color w:val="auto"/>
        </w:rPr>
      </w:pPr>
      <w:r w:rsidRPr="00A313BE">
        <w:rPr>
          <w:b/>
          <w:bCs/>
          <w:color w:val="auto"/>
        </w:rPr>
        <w:t xml:space="preserve">11.1.4. </w:t>
      </w:r>
      <w:r w:rsidRPr="00A313BE">
        <w:rPr>
          <w:color w:val="auto"/>
        </w:rPr>
        <w:t xml:space="preserve">Когато участникът е обединение, което не е юридическо лице, той задължително представя: </w:t>
      </w:r>
      <w:r w:rsidRPr="00A313BE">
        <w:rPr>
          <w:b/>
          <w:bCs/>
          <w:color w:val="auto"/>
        </w:rPr>
        <w:t xml:space="preserve">11.1.4.1. </w:t>
      </w:r>
      <w:r w:rsidRPr="00A313BE">
        <w:rPr>
          <w:color w:val="auto"/>
        </w:rPr>
        <w:t xml:space="preserve">Копие от документ, от който да е видно правното основание за създаване на обединението; </w:t>
      </w:r>
    </w:p>
    <w:p w:rsidR="00867429" w:rsidRPr="00A313BE" w:rsidRDefault="00867429" w:rsidP="008A7654">
      <w:pPr>
        <w:pStyle w:val="Default"/>
        <w:jc w:val="both"/>
        <w:rPr>
          <w:color w:val="auto"/>
        </w:rPr>
      </w:pPr>
      <w:r w:rsidRPr="00A313BE">
        <w:rPr>
          <w:b/>
          <w:bCs/>
          <w:color w:val="auto"/>
        </w:rPr>
        <w:t xml:space="preserve">11.1.4.2. </w:t>
      </w:r>
      <w:r w:rsidRPr="00A313BE">
        <w:rPr>
          <w:color w:val="auto"/>
        </w:rPr>
        <w:t xml:space="preserve">Информация във връзка с настоящата обществена поръчка относно: </w:t>
      </w:r>
    </w:p>
    <w:p w:rsidR="00867429" w:rsidRPr="00A313BE" w:rsidRDefault="00867429" w:rsidP="008A7654">
      <w:pPr>
        <w:pStyle w:val="Default"/>
        <w:jc w:val="both"/>
        <w:rPr>
          <w:color w:val="auto"/>
        </w:rPr>
      </w:pPr>
      <w:r w:rsidRPr="00A313BE">
        <w:rPr>
          <w:b/>
          <w:bCs/>
          <w:color w:val="auto"/>
        </w:rPr>
        <w:t xml:space="preserve">11.1.4.2.1. </w:t>
      </w:r>
      <w:r w:rsidRPr="00A313BE">
        <w:rPr>
          <w:color w:val="auto"/>
        </w:rPr>
        <w:t xml:space="preserve">Правата и задълженията на участниците (членовете) в обединението; </w:t>
      </w:r>
    </w:p>
    <w:p w:rsidR="00867429" w:rsidRPr="00A313BE" w:rsidRDefault="00867429" w:rsidP="008A7654">
      <w:pPr>
        <w:pStyle w:val="Default"/>
        <w:jc w:val="both"/>
        <w:rPr>
          <w:color w:val="auto"/>
        </w:rPr>
      </w:pPr>
      <w:r w:rsidRPr="00A313BE">
        <w:rPr>
          <w:b/>
          <w:bCs/>
          <w:color w:val="auto"/>
        </w:rPr>
        <w:t xml:space="preserve">11.1.4.2.2. </w:t>
      </w:r>
      <w:r w:rsidRPr="00A313BE">
        <w:rPr>
          <w:color w:val="auto"/>
        </w:rPr>
        <w:t xml:space="preserve">Дейностите, които ще изпълнява всеки член на обединението. </w:t>
      </w:r>
    </w:p>
    <w:p w:rsidR="00867429" w:rsidRPr="00A313BE" w:rsidRDefault="00867429" w:rsidP="008A7654">
      <w:pPr>
        <w:pStyle w:val="Default"/>
        <w:jc w:val="both"/>
        <w:rPr>
          <w:color w:val="auto"/>
        </w:rPr>
      </w:pPr>
      <w:r w:rsidRPr="00A313BE">
        <w:rPr>
          <w:b/>
          <w:bCs/>
          <w:color w:val="auto"/>
        </w:rPr>
        <w:lastRenderedPageBreak/>
        <w:t xml:space="preserve">11.1.5. </w:t>
      </w:r>
      <w:r w:rsidRPr="00A313BE">
        <w:rPr>
          <w:color w:val="auto"/>
        </w:rPr>
        <w:t xml:space="preserve">Изисквания за подизпълнители: </w:t>
      </w:r>
    </w:p>
    <w:p w:rsidR="00867429" w:rsidRPr="00A313BE" w:rsidRDefault="00867429" w:rsidP="008A7654">
      <w:pPr>
        <w:pStyle w:val="Default"/>
        <w:jc w:val="both"/>
        <w:rPr>
          <w:color w:val="auto"/>
        </w:rPr>
      </w:pPr>
      <w:r w:rsidRPr="00A313BE">
        <w:rPr>
          <w:color w:val="auto"/>
        </w:rPr>
        <w:t xml:space="preserve">Възлагането на работи на подизпълнители е допустимо при условията на чл. 66 от Закона за обществените поръчки. Лице, което е дало съгласие и фигурира като подизпълнител в офертата на друг участник, не може да представя самостоятелна оферта. </w:t>
      </w:r>
    </w:p>
    <w:p w:rsidR="00867429" w:rsidRPr="00A313BE" w:rsidRDefault="00867429" w:rsidP="008A7654">
      <w:pPr>
        <w:pStyle w:val="Default"/>
        <w:jc w:val="both"/>
        <w:rPr>
          <w:color w:val="auto"/>
        </w:rPr>
      </w:pPr>
      <w:r w:rsidRPr="00A313BE">
        <w:rPr>
          <w:b/>
          <w:bCs/>
          <w:color w:val="auto"/>
        </w:rPr>
        <w:t xml:space="preserve">11.2. Изисквания за лично състояние и основания за отстраняване. </w:t>
      </w:r>
    </w:p>
    <w:p w:rsidR="00867429" w:rsidRPr="00A313BE" w:rsidRDefault="00867429" w:rsidP="008A7654">
      <w:pPr>
        <w:pStyle w:val="Default"/>
        <w:jc w:val="both"/>
        <w:rPr>
          <w:color w:val="auto"/>
        </w:rPr>
      </w:pPr>
      <w:r w:rsidRPr="00A313BE">
        <w:rPr>
          <w:b/>
          <w:bCs/>
          <w:color w:val="auto"/>
        </w:rPr>
        <w:t xml:space="preserve">Изисквания за личното състояние: </w:t>
      </w:r>
    </w:p>
    <w:p w:rsidR="00867429" w:rsidRPr="00A313BE" w:rsidRDefault="00867429" w:rsidP="008A7654">
      <w:pPr>
        <w:pStyle w:val="Default"/>
        <w:jc w:val="both"/>
        <w:rPr>
          <w:color w:val="auto"/>
        </w:rPr>
      </w:pPr>
      <w:r w:rsidRPr="00A313BE">
        <w:rPr>
          <w:b/>
          <w:bCs/>
          <w:color w:val="auto"/>
        </w:rPr>
        <w:t xml:space="preserve">11.2.1. </w:t>
      </w:r>
      <w:r w:rsidRPr="00A313BE">
        <w:rPr>
          <w:color w:val="auto"/>
        </w:rPr>
        <w:t xml:space="preserve">Възложителят отстранява участник, за когото е налице някое от обстоятелствата по чл. 54, ал. 1 и който не отговаря на поставените от възложителя критерии за подбор, ако има такива. </w:t>
      </w:r>
    </w:p>
    <w:p w:rsidR="00867429" w:rsidRPr="00A313BE" w:rsidRDefault="00867429" w:rsidP="008A7654">
      <w:pPr>
        <w:pStyle w:val="Default"/>
        <w:jc w:val="both"/>
        <w:rPr>
          <w:color w:val="auto"/>
        </w:rPr>
      </w:pPr>
      <w:r w:rsidRPr="00A313BE">
        <w:rPr>
          <w:b/>
          <w:bCs/>
          <w:color w:val="auto"/>
        </w:rPr>
        <w:t xml:space="preserve">11.2.1.1. </w:t>
      </w:r>
      <w:r w:rsidRPr="00A313BE">
        <w:rPr>
          <w:color w:val="auto"/>
        </w:rPr>
        <w:t xml:space="preserve">Отстранява се от участие в обществената поръчка участник, когато: </w:t>
      </w:r>
    </w:p>
    <w:p w:rsidR="00867429" w:rsidRPr="00A313BE" w:rsidRDefault="00867429" w:rsidP="008A7654">
      <w:pPr>
        <w:pStyle w:val="Default"/>
        <w:jc w:val="both"/>
        <w:rPr>
          <w:color w:val="auto"/>
        </w:rPr>
      </w:pPr>
      <w:r w:rsidRPr="00A313BE">
        <w:rPr>
          <w:b/>
          <w:bCs/>
          <w:color w:val="auto"/>
        </w:rPr>
        <w:t xml:space="preserve">11.2.1.1.1. </w:t>
      </w:r>
      <w:r w:rsidRPr="00A313BE">
        <w:rPr>
          <w:color w:val="auto"/>
        </w:rPr>
        <w:t xml:space="preserve">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rsidR="00867429" w:rsidRPr="00A313BE" w:rsidRDefault="00867429" w:rsidP="008A7654">
      <w:pPr>
        <w:pStyle w:val="Default"/>
        <w:jc w:val="both"/>
        <w:rPr>
          <w:color w:val="auto"/>
        </w:rPr>
      </w:pPr>
      <w:r w:rsidRPr="00A313BE">
        <w:rPr>
          <w:b/>
          <w:bCs/>
          <w:color w:val="auto"/>
        </w:rPr>
        <w:t>11.2.1.1.2</w:t>
      </w:r>
      <w:r w:rsidRPr="00A313BE">
        <w:rPr>
          <w:color w:val="auto"/>
        </w:rPr>
        <w:t xml:space="preserve">. е осъден с влязла в сила присъда за престъпление, аналогично на тези по т. 1, в друга държава членка или трета страна; </w:t>
      </w:r>
    </w:p>
    <w:p w:rsidR="00867429" w:rsidRPr="00A313BE" w:rsidRDefault="00867429" w:rsidP="008A7654">
      <w:pPr>
        <w:pStyle w:val="Default"/>
        <w:jc w:val="both"/>
        <w:rPr>
          <w:color w:val="auto"/>
        </w:rPr>
      </w:pPr>
      <w:r w:rsidRPr="00A313BE">
        <w:rPr>
          <w:b/>
          <w:bCs/>
          <w:color w:val="auto"/>
        </w:rPr>
        <w:t xml:space="preserve">11.2.1.1.3. </w:t>
      </w:r>
      <w:r w:rsidRPr="00A313BE">
        <w:rPr>
          <w:color w:val="auto"/>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867429" w:rsidRPr="00A313BE" w:rsidRDefault="00867429" w:rsidP="008A7654">
      <w:pPr>
        <w:pStyle w:val="Default"/>
        <w:jc w:val="both"/>
        <w:rPr>
          <w:color w:val="auto"/>
        </w:rPr>
      </w:pPr>
      <w:r w:rsidRPr="00A313BE">
        <w:rPr>
          <w:b/>
          <w:bCs/>
          <w:color w:val="auto"/>
        </w:rPr>
        <w:t xml:space="preserve">11.2.1.1.4. </w:t>
      </w:r>
      <w:r w:rsidRPr="00A313BE">
        <w:rPr>
          <w:color w:val="auto"/>
        </w:rPr>
        <w:t xml:space="preserve">е налице неравнопоставеност в случаите по чл. 44, ал. 5 от ЗОП; </w:t>
      </w:r>
    </w:p>
    <w:p w:rsidR="00867429" w:rsidRPr="00A313BE" w:rsidRDefault="00867429" w:rsidP="008A7654">
      <w:pPr>
        <w:pStyle w:val="Default"/>
        <w:jc w:val="both"/>
        <w:rPr>
          <w:color w:val="auto"/>
        </w:rPr>
      </w:pPr>
      <w:r w:rsidRPr="00A313BE">
        <w:rPr>
          <w:b/>
          <w:bCs/>
          <w:color w:val="auto"/>
        </w:rPr>
        <w:t>11.2.1.1.5</w:t>
      </w:r>
      <w:r w:rsidRPr="00A313BE">
        <w:rPr>
          <w:color w:val="auto"/>
        </w:rPr>
        <w:t xml:space="preserve">. е установено, че: </w:t>
      </w:r>
    </w:p>
    <w:p w:rsidR="00867429" w:rsidRPr="00A313BE" w:rsidRDefault="00867429" w:rsidP="008A7654">
      <w:pPr>
        <w:pStyle w:val="Default"/>
        <w:jc w:val="both"/>
        <w:rPr>
          <w:color w:val="auto"/>
        </w:rPr>
      </w:pPr>
      <w:r w:rsidRPr="00A313BE">
        <w:rPr>
          <w:color w:val="auto"/>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867429" w:rsidRPr="00A313BE" w:rsidRDefault="00867429" w:rsidP="008A7654">
      <w:pPr>
        <w:pStyle w:val="Default"/>
        <w:jc w:val="both"/>
        <w:rPr>
          <w:color w:val="auto"/>
        </w:rPr>
      </w:pPr>
      <w:r w:rsidRPr="00A313BE">
        <w:rPr>
          <w:color w:val="auto"/>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4138FD" w:rsidRPr="00A313BE" w:rsidRDefault="00867429" w:rsidP="00E375C9">
      <w:pPr>
        <w:pStyle w:val="Default"/>
        <w:jc w:val="both"/>
        <w:rPr>
          <w:color w:val="auto"/>
        </w:rPr>
      </w:pPr>
      <w:r w:rsidRPr="00A313BE">
        <w:rPr>
          <w:b/>
          <w:bCs/>
          <w:color w:val="auto"/>
        </w:rPr>
        <w:t>11.2.1.1.6</w:t>
      </w:r>
      <w:r w:rsidRPr="00A313BE">
        <w:rPr>
          <w:color w:val="auto"/>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w:t>
      </w:r>
      <w:r w:rsidR="00E375C9" w:rsidRPr="00A313BE">
        <w:rPr>
          <w:color w:val="auto"/>
        </w:rPr>
        <w:t xml:space="preserve"> </w:t>
      </w:r>
      <w:r w:rsidR="004138FD" w:rsidRPr="00A313BE">
        <w:rPr>
          <w:color w:val="auto"/>
        </w:rPr>
        <w:t xml:space="preserve">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rsidR="004138FD" w:rsidRPr="00A313BE" w:rsidRDefault="004138FD" w:rsidP="005C2D89">
      <w:pPr>
        <w:pStyle w:val="Default"/>
        <w:jc w:val="both"/>
        <w:rPr>
          <w:color w:val="auto"/>
        </w:rPr>
      </w:pPr>
      <w:r w:rsidRPr="00A313BE">
        <w:rPr>
          <w:b/>
          <w:bCs/>
          <w:color w:val="auto"/>
        </w:rPr>
        <w:t xml:space="preserve">11.2.1.1.7. </w:t>
      </w:r>
      <w:r w:rsidRPr="00A313BE">
        <w:rPr>
          <w:color w:val="auto"/>
        </w:rPr>
        <w:t xml:space="preserve">е налице конфликт на интереси, който не може да бъде отстранен </w:t>
      </w:r>
    </w:p>
    <w:p w:rsidR="004138FD" w:rsidRPr="00A313BE" w:rsidRDefault="004138FD" w:rsidP="005C2D89">
      <w:pPr>
        <w:pStyle w:val="Default"/>
        <w:jc w:val="both"/>
        <w:rPr>
          <w:color w:val="auto"/>
        </w:rPr>
      </w:pPr>
      <w:r w:rsidRPr="00A313BE">
        <w:rPr>
          <w:color w:val="auto"/>
        </w:rPr>
        <w:t xml:space="preserve">Към офертата участниците подават декларация по образец на възложителя за липсата на основанията за отстраняване и съответствие с критериите за подбор, ако има такива. Когато участникът се представлява от повече от едно лице, декларацията за обстоятелствата по чл. 54, ал. 1, т. 3 – 6 се подписва от лицето, което може самостоятелно да го представлява. </w:t>
      </w:r>
    </w:p>
    <w:p w:rsidR="004138FD" w:rsidRPr="00A313BE" w:rsidRDefault="004138FD" w:rsidP="005C2D89">
      <w:pPr>
        <w:pStyle w:val="Default"/>
        <w:jc w:val="both"/>
        <w:rPr>
          <w:color w:val="auto"/>
        </w:rPr>
      </w:pPr>
      <w:r w:rsidRPr="00A313BE">
        <w:rPr>
          <w:b/>
          <w:bCs/>
          <w:color w:val="auto"/>
        </w:rPr>
        <w:t xml:space="preserve">11.2.2. </w:t>
      </w:r>
      <w:r w:rsidRPr="00A313BE">
        <w:rPr>
          <w:color w:val="auto"/>
        </w:rPr>
        <w:t xml:space="preserve">Не се допуска пряко или косвено участие в настоящата поръчка на лица, за които са налице обстоятелства по чл.69 от Закона за противодействие на корупцията и за отнемане на незаконно придобито имущество, както и на дружества регистрирани в юрисдикции с преференциален данъчен режим и на свързаните с тях лица, включително и чрез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чл.4 от Закона за икономическите и финансовите отношения с дружества , регистрирани в юрисдикции с преференциален данъчен режим, свързаните с тях лица и техните действителни собственици. </w:t>
      </w:r>
    </w:p>
    <w:p w:rsidR="004138FD" w:rsidRPr="00A313BE" w:rsidRDefault="004138FD" w:rsidP="005C2D89">
      <w:pPr>
        <w:pStyle w:val="Default"/>
        <w:jc w:val="both"/>
        <w:rPr>
          <w:color w:val="auto"/>
        </w:rPr>
      </w:pPr>
      <w:r w:rsidRPr="00A313BE">
        <w:rPr>
          <w:b/>
          <w:bCs/>
          <w:color w:val="auto"/>
        </w:rPr>
        <w:t xml:space="preserve">11.2.3. </w:t>
      </w:r>
      <w:r w:rsidRPr="00A313BE">
        <w:rPr>
          <w:color w:val="auto"/>
        </w:rPr>
        <w:t xml:space="preserve">Освен на основанията посочени по-горе , Възложителят отстранява от участие: </w:t>
      </w:r>
    </w:p>
    <w:p w:rsidR="004138FD" w:rsidRPr="00A313BE" w:rsidRDefault="004138FD" w:rsidP="005C2D89">
      <w:pPr>
        <w:pStyle w:val="Default"/>
        <w:jc w:val="both"/>
        <w:rPr>
          <w:color w:val="auto"/>
        </w:rPr>
      </w:pPr>
      <w:r w:rsidRPr="00A313BE">
        <w:rPr>
          <w:b/>
          <w:bCs/>
          <w:color w:val="auto"/>
        </w:rPr>
        <w:lastRenderedPageBreak/>
        <w:t xml:space="preserve">11.2.3.1. </w:t>
      </w:r>
      <w:r w:rsidRPr="00A313BE">
        <w:rPr>
          <w:color w:val="auto"/>
        </w:rPr>
        <w:t xml:space="preserve">кандидат или участник, който не отговаря на поставените критерии за подбор или не изпълни друго условие, посочено в обявата за обществена поръчка или в приложенията към нея; </w:t>
      </w:r>
    </w:p>
    <w:p w:rsidR="004138FD" w:rsidRPr="00A313BE" w:rsidRDefault="004138FD" w:rsidP="005C2D89">
      <w:pPr>
        <w:pStyle w:val="Default"/>
        <w:jc w:val="both"/>
        <w:rPr>
          <w:color w:val="auto"/>
        </w:rPr>
      </w:pPr>
      <w:r w:rsidRPr="00A313BE">
        <w:rPr>
          <w:b/>
          <w:bCs/>
          <w:color w:val="auto"/>
        </w:rPr>
        <w:t xml:space="preserve">11.2.3.2. </w:t>
      </w:r>
      <w:r w:rsidRPr="00A313BE">
        <w:rPr>
          <w:color w:val="auto"/>
        </w:rPr>
        <w:t xml:space="preserve">участник, който е представил оферта, която не отговаря на: </w:t>
      </w:r>
    </w:p>
    <w:p w:rsidR="004138FD" w:rsidRPr="00A313BE" w:rsidRDefault="004138FD" w:rsidP="005C2D89">
      <w:pPr>
        <w:pStyle w:val="Default"/>
        <w:jc w:val="both"/>
        <w:rPr>
          <w:color w:val="auto"/>
        </w:rPr>
      </w:pPr>
      <w:r w:rsidRPr="00A313BE">
        <w:rPr>
          <w:color w:val="auto"/>
        </w:rPr>
        <w:t xml:space="preserve">а) предварително обявените условия за изпълнение на поръчката; </w:t>
      </w:r>
    </w:p>
    <w:p w:rsidR="004138FD" w:rsidRPr="00A313BE" w:rsidRDefault="004138FD" w:rsidP="005C2D89">
      <w:pPr>
        <w:pStyle w:val="Default"/>
        <w:jc w:val="both"/>
        <w:rPr>
          <w:color w:val="auto"/>
        </w:rPr>
      </w:pPr>
      <w:r w:rsidRPr="00A313BE">
        <w:rPr>
          <w:color w:val="auto"/>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чл.72, ал.4 от ЗОП; </w:t>
      </w:r>
    </w:p>
    <w:p w:rsidR="004138FD" w:rsidRPr="00A313BE" w:rsidRDefault="004138FD" w:rsidP="005C2D89">
      <w:pPr>
        <w:pStyle w:val="Default"/>
        <w:jc w:val="both"/>
        <w:rPr>
          <w:color w:val="auto"/>
        </w:rPr>
      </w:pPr>
      <w:r w:rsidRPr="00A313BE">
        <w:rPr>
          <w:b/>
          <w:bCs/>
          <w:color w:val="auto"/>
        </w:rPr>
        <w:t xml:space="preserve">11.2.3.3. </w:t>
      </w:r>
      <w:r w:rsidRPr="00A313BE">
        <w:rPr>
          <w:color w:val="auto"/>
        </w:rPr>
        <w:t xml:space="preserve">участници, които са свързани лица; </w:t>
      </w:r>
    </w:p>
    <w:p w:rsidR="004138FD" w:rsidRPr="00A313BE" w:rsidRDefault="004138FD" w:rsidP="005C2D89">
      <w:pPr>
        <w:pStyle w:val="Default"/>
        <w:jc w:val="both"/>
        <w:rPr>
          <w:color w:val="auto"/>
        </w:rPr>
      </w:pPr>
      <w:r w:rsidRPr="00A313BE">
        <w:rPr>
          <w:b/>
          <w:bCs/>
          <w:color w:val="auto"/>
        </w:rPr>
        <w:t>11.2.3.4</w:t>
      </w:r>
      <w:r w:rsidRPr="00A313BE">
        <w:rPr>
          <w:color w:val="auto"/>
        </w:rPr>
        <w:t xml:space="preserve">. участник, който не е представил в срок обосновката по чл. 72, ал. 1 или чиято оферта не е приета съгласно чл. 72, ал. 3 – 5; </w:t>
      </w:r>
    </w:p>
    <w:p w:rsidR="004138FD" w:rsidRPr="00A313BE" w:rsidRDefault="004138FD" w:rsidP="005C2D89">
      <w:pPr>
        <w:pStyle w:val="Default"/>
        <w:jc w:val="both"/>
        <w:rPr>
          <w:color w:val="auto"/>
        </w:rPr>
      </w:pPr>
      <w:r w:rsidRPr="00A313BE">
        <w:rPr>
          <w:b/>
          <w:bCs/>
          <w:color w:val="auto"/>
        </w:rPr>
        <w:t xml:space="preserve">11.2.3.5. </w:t>
      </w:r>
      <w:r w:rsidRPr="00A313BE">
        <w:rPr>
          <w:color w:val="auto"/>
        </w:rPr>
        <w:t xml:space="preserve">участник, подал заявление за участие или оферта, които не отговарят на условията за представяне, включително за форма, начин и срок. </w:t>
      </w:r>
    </w:p>
    <w:p w:rsidR="004138FD" w:rsidRPr="00A313BE" w:rsidRDefault="004138FD" w:rsidP="005C2D89">
      <w:pPr>
        <w:pStyle w:val="Default"/>
        <w:jc w:val="both"/>
        <w:rPr>
          <w:b/>
          <w:i/>
          <w:color w:val="auto"/>
        </w:rPr>
      </w:pPr>
      <w:r w:rsidRPr="00A313BE">
        <w:rPr>
          <w:b/>
          <w:bCs/>
          <w:i/>
          <w:color w:val="auto"/>
        </w:rPr>
        <w:t xml:space="preserve">11.3. Критерии за подбор. Специфични условия за участие. Изискуеми документи и информация за доказване на минималните изисквания. </w:t>
      </w:r>
    </w:p>
    <w:p w:rsidR="004138FD" w:rsidRPr="00A313BE" w:rsidRDefault="004138FD" w:rsidP="005C2D89">
      <w:pPr>
        <w:pStyle w:val="Default"/>
        <w:jc w:val="both"/>
        <w:rPr>
          <w:b/>
          <w:bCs/>
          <w:color w:val="auto"/>
        </w:rPr>
      </w:pPr>
      <w:r w:rsidRPr="00A313BE">
        <w:rPr>
          <w:b/>
          <w:bCs/>
          <w:color w:val="auto"/>
        </w:rPr>
        <w:t xml:space="preserve">11.3.1. Годност (правоспособност) за упражняване на професионална дейност. </w:t>
      </w:r>
    </w:p>
    <w:p w:rsidR="0022461E" w:rsidRPr="00A313BE" w:rsidRDefault="0022461E" w:rsidP="0022461E">
      <w:pPr>
        <w:spacing w:after="0"/>
        <w:jc w:val="both"/>
        <w:rPr>
          <w:rFonts w:ascii="Times New Roman" w:hAnsi="Times New Roman" w:cs="Times New Roman"/>
          <w:sz w:val="24"/>
          <w:szCs w:val="24"/>
        </w:rPr>
      </w:pPr>
      <w:r w:rsidRPr="00A313BE">
        <w:rPr>
          <w:rFonts w:ascii="Times New Roman" w:hAnsi="Times New Roman" w:cs="Times New Roman"/>
          <w:sz w:val="24"/>
          <w:szCs w:val="24"/>
        </w:rPr>
        <w:t>Котелът и горелката, трябва да бъдат монтирани само от квалифициран специализиран персонал, в съответствие с указанията дадени в ръководствата за котела и горелката, приложимите стандарти, предписанията на националните нормативни документи и правила на добрите практики. Работите по монтажа на котела и горелката, изпитанията на якост и плътност, първоначалното техническо въвеждане в експлоатация, включващо оглед на изпълнението на инсталацията, настройки и пускане на котела и горелката в действие, трябва да бъде осъществено от лице/лица/, които са вписани в регистъра на лицата, извършващи такава дейност , и са получили удостоверение за това от председателя на Държавната агенция за метрологичен и технически надзор или оправомощени от него длъжностни лица от Главна дирекция „Инспекция за държавен технически надзор”.</w:t>
      </w:r>
    </w:p>
    <w:p w:rsidR="0022461E" w:rsidRPr="00A313BE" w:rsidRDefault="0022461E" w:rsidP="0022461E">
      <w:pPr>
        <w:jc w:val="center"/>
        <w:rPr>
          <w:rFonts w:ascii="Times New Roman" w:hAnsi="Times New Roman" w:cs="Times New Roman"/>
          <w:sz w:val="24"/>
          <w:szCs w:val="24"/>
        </w:rPr>
      </w:pPr>
      <w:r w:rsidRPr="00A313BE">
        <w:rPr>
          <w:rFonts w:ascii="Times New Roman" w:hAnsi="Times New Roman" w:cs="Times New Roman"/>
          <w:sz w:val="24"/>
          <w:szCs w:val="24"/>
        </w:rPr>
        <w:tab/>
      </w:r>
      <w:r w:rsidRPr="00A313BE">
        <w:rPr>
          <w:rFonts w:ascii="Times New Roman" w:hAnsi="Times New Roman" w:cs="Times New Roman"/>
          <w:b/>
          <w:sz w:val="24"/>
          <w:szCs w:val="24"/>
        </w:rPr>
        <w:t xml:space="preserve">Работите по свързването на котела и горелката с горивното стопанство и отоплителната инсталация, могат да се извършат само от Изпълнители/Инсталатори които са получили права за това от компетентните органи, съгласно чл.36 от </w:t>
      </w:r>
      <w:r w:rsidRPr="00A313BE">
        <w:rPr>
          <w:rFonts w:ascii="Times New Roman" w:hAnsi="Times New Roman" w:cs="Times New Roman"/>
          <w:b/>
          <w:bCs/>
          <w:sz w:val="24"/>
          <w:szCs w:val="24"/>
          <w:highlight w:val="white"/>
          <w:shd w:val="clear" w:color="auto" w:fill="FEFEFE"/>
        </w:rPr>
        <w:t>ЗАКОН за техническите изисквания към продуктите</w:t>
      </w:r>
      <w:r w:rsidRPr="00A313BE">
        <w:rPr>
          <w:rFonts w:ascii="Times New Roman" w:hAnsi="Times New Roman" w:cs="Times New Roman"/>
          <w:b/>
          <w:bCs/>
          <w:sz w:val="24"/>
          <w:szCs w:val="24"/>
          <w:shd w:val="clear" w:color="auto" w:fill="FEFEFE"/>
        </w:rPr>
        <w:t>/</w:t>
      </w:r>
      <w:r w:rsidRPr="00A313BE">
        <w:rPr>
          <w:rFonts w:ascii="Times New Roman" w:hAnsi="Times New Roman" w:cs="Times New Roman"/>
          <w:b/>
          <w:sz w:val="24"/>
          <w:szCs w:val="24"/>
        </w:rPr>
        <w:t>ЗТИП/.</w:t>
      </w:r>
    </w:p>
    <w:p w:rsidR="004138FD" w:rsidRPr="00A313BE" w:rsidRDefault="004138FD" w:rsidP="004138FD">
      <w:pPr>
        <w:pStyle w:val="Default"/>
        <w:rPr>
          <w:color w:val="auto"/>
        </w:rPr>
      </w:pPr>
      <w:r w:rsidRPr="00A313BE">
        <w:rPr>
          <w:b/>
          <w:bCs/>
          <w:color w:val="auto"/>
        </w:rPr>
        <w:t xml:space="preserve">Доказване: </w:t>
      </w:r>
    </w:p>
    <w:p w:rsidR="004138FD" w:rsidRPr="00A313BE" w:rsidRDefault="004138FD" w:rsidP="00734646">
      <w:pPr>
        <w:pStyle w:val="Default"/>
        <w:jc w:val="both"/>
        <w:rPr>
          <w:color w:val="auto"/>
        </w:rPr>
      </w:pPr>
      <w:r w:rsidRPr="00A313BE">
        <w:rPr>
          <w:color w:val="auto"/>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9023E5" w:rsidRPr="00A313BE" w:rsidRDefault="008872FC" w:rsidP="009023E5">
      <w:pPr>
        <w:spacing w:after="0"/>
        <w:jc w:val="both"/>
        <w:rPr>
          <w:rFonts w:ascii="Times New Roman" w:hAnsi="Times New Roman" w:cs="Times New Roman"/>
          <w:sz w:val="24"/>
          <w:szCs w:val="24"/>
        </w:rPr>
      </w:pPr>
      <w:r w:rsidRPr="00A313BE">
        <w:rPr>
          <w:rFonts w:ascii="Times New Roman" w:hAnsi="Times New Roman" w:cs="Times New Roman"/>
          <w:sz w:val="24"/>
          <w:szCs w:val="24"/>
        </w:rPr>
        <w:t xml:space="preserve">Посочва се регистър и номера на </w:t>
      </w:r>
      <w:r w:rsidR="009023E5" w:rsidRPr="00A313BE">
        <w:rPr>
          <w:rFonts w:ascii="Times New Roman" w:hAnsi="Times New Roman" w:cs="Times New Roman"/>
          <w:sz w:val="24"/>
          <w:szCs w:val="24"/>
        </w:rPr>
        <w:t xml:space="preserve">  удостоверения  за /</w:t>
      </w:r>
      <w:r w:rsidR="006A0F14" w:rsidRPr="00A313BE">
        <w:rPr>
          <w:rFonts w:ascii="Times New Roman" w:hAnsi="Times New Roman" w:cs="Times New Roman"/>
          <w:sz w:val="24"/>
          <w:szCs w:val="24"/>
        </w:rPr>
        <w:t xml:space="preserve"> работите по монтажа на котела и горелката, изпитанията на якост и плътност, първоначалното техническо въвеждане в експлоатация, включващо оглед на изпълнението на инсталацията, настройки и пускане на котела и горелката в действие, трябва да бъде осъществено от лице/лица/, които са вписани в регистъра на лицата, извършващи такава дейност , и са получили удостоверение за това/</w:t>
      </w:r>
      <w:r w:rsidR="009023E5" w:rsidRPr="00A313BE">
        <w:rPr>
          <w:rFonts w:ascii="Times New Roman" w:hAnsi="Times New Roman" w:cs="Times New Roman"/>
          <w:sz w:val="24"/>
          <w:szCs w:val="24"/>
        </w:rPr>
        <w:t xml:space="preserve">  от председателя на Държавната агенция за метрологичен и технически надзор или оправомощени от него длъжностни лица от Главна дирекция „Инспекция за държавен технически надзор”.</w:t>
      </w:r>
      <w:r w:rsidR="006A0F14" w:rsidRPr="00A313BE">
        <w:rPr>
          <w:rFonts w:ascii="Times New Roman" w:hAnsi="Times New Roman" w:cs="Times New Roman"/>
          <w:sz w:val="24"/>
          <w:szCs w:val="24"/>
        </w:rPr>
        <w:t>/копие вярно с оригинала/</w:t>
      </w:r>
    </w:p>
    <w:p w:rsidR="009023E5" w:rsidRPr="00A313BE" w:rsidRDefault="009023E5" w:rsidP="00734646">
      <w:pPr>
        <w:pStyle w:val="Default"/>
        <w:jc w:val="both"/>
        <w:rPr>
          <w:color w:val="auto"/>
        </w:rPr>
      </w:pPr>
    </w:p>
    <w:p w:rsidR="004138FD" w:rsidRPr="00A313BE" w:rsidRDefault="004138FD" w:rsidP="00734646">
      <w:pPr>
        <w:pStyle w:val="Default"/>
        <w:jc w:val="both"/>
        <w:rPr>
          <w:color w:val="auto"/>
        </w:rPr>
      </w:pPr>
      <w:r w:rsidRPr="00A313BE">
        <w:rPr>
          <w:color w:val="auto"/>
        </w:rPr>
        <w:lastRenderedPageBreak/>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22461E" w:rsidRPr="00A313BE" w:rsidRDefault="004138FD" w:rsidP="00734646">
      <w:pPr>
        <w:pStyle w:val="Default"/>
        <w:jc w:val="both"/>
        <w:rPr>
          <w:color w:val="auto"/>
        </w:rPr>
      </w:pPr>
      <w:r w:rsidRPr="00A313BE">
        <w:rPr>
          <w:color w:val="auto"/>
        </w:rPr>
        <w:t>Преди сключване на договора за обществената поръчка, документът с който се доказва съответствието с изискването по т.1</w:t>
      </w:r>
      <w:r w:rsidR="00C93C3A" w:rsidRPr="00A313BE">
        <w:rPr>
          <w:color w:val="auto"/>
        </w:rPr>
        <w:t>1.3.1</w:t>
      </w:r>
      <w:r w:rsidR="00875640" w:rsidRPr="00A313BE">
        <w:rPr>
          <w:color w:val="auto"/>
        </w:rPr>
        <w:t xml:space="preserve">- </w:t>
      </w:r>
      <w:r w:rsidR="00C93C3A" w:rsidRPr="00A313BE">
        <w:rPr>
          <w:color w:val="auto"/>
        </w:rPr>
        <w:t xml:space="preserve"> </w:t>
      </w:r>
      <w:r w:rsidRPr="00A313BE">
        <w:rPr>
          <w:color w:val="auto"/>
        </w:rPr>
        <w:t xml:space="preserve"> е заверено копие на валидно </w:t>
      </w:r>
      <w:r w:rsidR="008872FC" w:rsidRPr="00A313BE">
        <w:rPr>
          <w:color w:val="auto"/>
        </w:rPr>
        <w:t>удостоверения  за / работите по монтажа на котела и горелката, изпитанията на якост и плътност, първоначалното техническо въвеждане в експлоатация, включващо оглед на изпълнението на инсталацията, настройки и пускане на котела и горелката в действие, трябва да бъде осъществено от лице/лица/, които са вписани в регистъра на лицата, извършващи такава дейност , и са получили удостоверение за това/  от председателя на Държавната агенция за метрологичен и технически надзор или оправомощени от него длъжностни лица от Главна дирекция „Инспекция за държавен технически надзор”./</w:t>
      </w:r>
    </w:p>
    <w:p w:rsidR="0022461E" w:rsidRPr="00A313BE" w:rsidRDefault="0022461E" w:rsidP="00734646">
      <w:pPr>
        <w:pStyle w:val="Default"/>
        <w:jc w:val="both"/>
        <w:rPr>
          <w:color w:val="auto"/>
        </w:rPr>
      </w:pPr>
    </w:p>
    <w:p w:rsidR="004138FD" w:rsidRPr="00A313BE" w:rsidRDefault="004138FD" w:rsidP="008872FC">
      <w:pPr>
        <w:pStyle w:val="Default"/>
        <w:jc w:val="both"/>
        <w:rPr>
          <w:color w:val="auto"/>
        </w:rPr>
      </w:pPr>
      <w:r w:rsidRPr="00A313BE">
        <w:rPr>
          <w:b/>
          <w:bCs/>
          <w:i/>
          <w:color w:val="auto"/>
        </w:rPr>
        <w:t xml:space="preserve">11.3.2. </w:t>
      </w:r>
      <w:r w:rsidRPr="00A313BE">
        <w:rPr>
          <w:b/>
          <w:bCs/>
          <w:color w:val="auto"/>
        </w:rPr>
        <w:t xml:space="preserve">. Технически и професионални способности. </w:t>
      </w:r>
    </w:p>
    <w:p w:rsidR="004138FD" w:rsidRPr="00A313BE" w:rsidRDefault="004138FD" w:rsidP="004138FD">
      <w:pPr>
        <w:pStyle w:val="Default"/>
        <w:rPr>
          <w:color w:val="auto"/>
        </w:rPr>
      </w:pPr>
      <w:r w:rsidRPr="00A313BE">
        <w:rPr>
          <w:b/>
          <w:bCs/>
          <w:color w:val="auto"/>
        </w:rPr>
        <w:t xml:space="preserve"> </w:t>
      </w:r>
      <w:r w:rsidRPr="00A313BE">
        <w:rPr>
          <w:color w:val="auto"/>
        </w:rPr>
        <w:t xml:space="preserve">Участникът следва през последните </w:t>
      </w:r>
      <w:r w:rsidR="00E502C5" w:rsidRPr="00A313BE">
        <w:rPr>
          <w:color w:val="auto"/>
        </w:rPr>
        <w:t>3</w:t>
      </w:r>
      <w:r w:rsidRPr="00A313BE">
        <w:rPr>
          <w:color w:val="auto"/>
        </w:rPr>
        <w:t xml:space="preserve"> (</w:t>
      </w:r>
      <w:r w:rsidR="00E502C5" w:rsidRPr="00A313BE">
        <w:rPr>
          <w:color w:val="auto"/>
        </w:rPr>
        <w:t>три</w:t>
      </w:r>
      <w:r w:rsidRPr="00A313BE">
        <w:rPr>
          <w:color w:val="auto"/>
        </w:rPr>
        <w:t xml:space="preserve">) години, считано от датата на подаване на офертата да е изпълнил дейности, с предмет и обем идентичен или сходен* с предмета на поръчката. Дейностите трябва да са приключени и приети от съответния възложител преди датата на подаване на офертата от участника. </w:t>
      </w:r>
    </w:p>
    <w:p w:rsidR="00C507CF" w:rsidRPr="00A313BE" w:rsidRDefault="004138FD" w:rsidP="00C507CF">
      <w:pPr>
        <w:pStyle w:val="Default"/>
        <w:rPr>
          <w:b/>
          <w:bCs/>
          <w:color w:val="auto"/>
        </w:rPr>
      </w:pPr>
      <w:r w:rsidRPr="00A313BE">
        <w:rPr>
          <w:b/>
          <w:bCs/>
          <w:color w:val="auto"/>
        </w:rPr>
        <w:t xml:space="preserve">Изисквано минимално/ни ниво/а: </w:t>
      </w:r>
    </w:p>
    <w:p w:rsidR="004138FD" w:rsidRPr="00A313BE" w:rsidRDefault="004138FD" w:rsidP="00C507CF">
      <w:pPr>
        <w:pStyle w:val="Default"/>
        <w:rPr>
          <w:b/>
          <w:i/>
          <w:color w:val="auto"/>
        </w:rPr>
      </w:pPr>
      <w:r w:rsidRPr="00A313BE">
        <w:rPr>
          <w:color w:val="auto"/>
        </w:rPr>
        <w:t xml:space="preserve">Участникът следва да е изпълнил през последните </w:t>
      </w:r>
      <w:r w:rsidR="00E502C5" w:rsidRPr="00A313BE">
        <w:rPr>
          <w:color w:val="auto"/>
        </w:rPr>
        <w:t>3</w:t>
      </w:r>
      <w:r w:rsidRPr="00A313BE">
        <w:rPr>
          <w:color w:val="auto"/>
        </w:rPr>
        <w:t xml:space="preserve"> (</w:t>
      </w:r>
      <w:r w:rsidR="00E502C5" w:rsidRPr="00A313BE">
        <w:rPr>
          <w:color w:val="auto"/>
        </w:rPr>
        <w:t>три</w:t>
      </w:r>
      <w:r w:rsidRPr="00A313BE">
        <w:rPr>
          <w:color w:val="auto"/>
        </w:rPr>
        <w:t xml:space="preserve">) години, считано от датата на подаване на офертата (в зависимост от датата, на която участникът е учреден или е започнал дейността си), самостоятелно или като участник в обединение дейности с предмет идентичен или сходен* с предмета на </w:t>
      </w:r>
      <w:r w:rsidRPr="00A313BE">
        <w:rPr>
          <w:b/>
          <w:i/>
          <w:color w:val="auto"/>
        </w:rPr>
        <w:t xml:space="preserve">поръчката минимум </w:t>
      </w:r>
      <w:r w:rsidR="008872FC" w:rsidRPr="00A313BE">
        <w:rPr>
          <w:b/>
          <w:i/>
          <w:color w:val="auto"/>
        </w:rPr>
        <w:t>един договор.</w:t>
      </w:r>
      <w:r w:rsidRPr="00A313BE">
        <w:rPr>
          <w:b/>
          <w:i/>
          <w:color w:val="auto"/>
        </w:rPr>
        <w:t xml:space="preserve"> </w:t>
      </w:r>
    </w:p>
    <w:p w:rsidR="004138FD" w:rsidRPr="00A313BE" w:rsidRDefault="004138FD" w:rsidP="004138FD">
      <w:pPr>
        <w:pStyle w:val="Default"/>
        <w:rPr>
          <w:color w:val="auto"/>
        </w:rPr>
      </w:pPr>
    </w:p>
    <w:p w:rsidR="004138FD" w:rsidRPr="00A313BE" w:rsidRDefault="004138FD" w:rsidP="004138FD">
      <w:pPr>
        <w:pStyle w:val="Default"/>
        <w:rPr>
          <w:color w:val="auto"/>
        </w:rPr>
      </w:pPr>
      <w:r w:rsidRPr="00A313BE">
        <w:rPr>
          <w:b/>
          <w:bCs/>
          <w:color w:val="auto"/>
        </w:rPr>
        <w:t xml:space="preserve">Доказване: </w:t>
      </w:r>
    </w:p>
    <w:p w:rsidR="004138FD" w:rsidRPr="00A313BE" w:rsidRDefault="004138FD" w:rsidP="00C92134">
      <w:pPr>
        <w:pStyle w:val="Default"/>
        <w:jc w:val="both"/>
        <w:rPr>
          <w:color w:val="auto"/>
        </w:rPr>
      </w:pPr>
      <w:r w:rsidRPr="00A313BE">
        <w:rPr>
          <w:color w:val="auto"/>
        </w:rPr>
        <w:t xml:space="preserve">Съгласно изискването на чл.192, ал.3 от ЗОП, при подаване на офертата, участникът декларира съответствието с посочения критерии за подбор, като информацията се попълва в декларация по образец на Възложителя – Приложение №4. </w:t>
      </w:r>
    </w:p>
    <w:p w:rsidR="004138FD" w:rsidRPr="00A313BE" w:rsidRDefault="004138FD" w:rsidP="00C92134">
      <w:pPr>
        <w:pStyle w:val="Default"/>
        <w:jc w:val="both"/>
        <w:rPr>
          <w:color w:val="auto"/>
        </w:rPr>
      </w:pPr>
      <w:r w:rsidRPr="00A313BE">
        <w:rPr>
          <w:color w:val="auto"/>
        </w:rPr>
        <w:t xml:space="preserve">На основание чл. 195, във връзка с чл.67, ал.5 от ЗОП, възложителят може да изисква от участниците по всяко време, да представят всички или част от документите, чрез които се доказва декларираната информацията, когато това е необходимо за законосъобразно провеждане на процедурата. </w:t>
      </w:r>
    </w:p>
    <w:p w:rsidR="004138FD" w:rsidRPr="00A313BE" w:rsidRDefault="004138FD" w:rsidP="00C92134">
      <w:pPr>
        <w:pStyle w:val="Default"/>
        <w:jc w:val="both"/>
        <w:rPr>
          <w:color w:val="auto"/>
        </w:rPr>
      </w:pPr>
      <w:r w:rsidRPr="00A313BE">
        <w:rPr>
          <w:color w:val="auto"/>
        </w:rPr>
        <w:t>Преди сключване на договора за обществената поръчка, документът с който се доказва съответствието с изискването по т.11.3.</w:t>
      </w:r>
      <w:r w:rsidR="00AC1268" w:rsidRPr="00A313BE">
        <w:rPr>
          <w:color w:val="auto"/>
        </w:rPr>
        <w:t>2</w:t>
      </w:r>
      <w:r w:rsidR="00C93C3A" w:rsidRPr="00A313BE">
        <w:rPr>
          <w:color w:val="auto"/>
        </w:rPr>
        <w:t xml:space="preserve"> </w:t>
      </w:r>
      <w:r w:rsidRPr="00A313BE">
        <w:rPr>
          <w:color w:val="auto"/>
        </w:rPr>
        <w:t xml:space="preserve"> е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8B6984" w:rsidRPr="00A313BE" w:rsidRDefault="008B6984" w:rsidP="004138FD">
      <w:pPr>
        <w:pStyle w:val="Default"/>
        <w:rPr>
          <w:color w:val="auto"/>
        </w:rPr>
      </w:pPr>
    </w:p>
    <w:p w:rsidR="004138FD" w:rsidRPr="00A313BE" w:rsidRDefault="004138FD" w:rsidP="004138FD">
      <w:pPr>
        <w:pStyle w:val="Default"/>
        <w:rPr>
          <w:color w:val="auto"/>
        </w:rPr>
      </w:pPr>
      <w:r w:rsidRPr="00A313BE">
        <w:rPr>
          <w:b/>
          <w:bCs/>
          <w:color w:val="auto"/>
        </w:rPr>
        <w:t xml:space="preserve">Забележка: </w:t>
      </w:r>
    </w:p>
    <w:p w:rsidR="004138FD" w:rsidRPr="00A313BE" w:rsidRDefault="004138FD" w:rsidP="004138FD">
      <w:pPr>
        <w:pStyle w:val="Default"/>
        <w:rPr>
          <w:color w:val="auto"/>
        </w:rPr>
      </w:pPr>
      <w:r w:rsidRPr="00A313BE">
        <w:rPr>
          <w:color w:val="auto"/>
        </w:rPr>
        <w:t xml:space="preserve">Участник, чиято оферта не отговаря на минималните изисквания, посочени по-горе, се отстранява от участие. </w:t>
      </w:r>
    </w:p>
    <w:p w:rsidR="004138FD" w:rsidRPr="00A313BE" w:rsidRDefault="004138FD" w:rsidP="004138FD">
      <w:pPr>
        <w:pStyle w:val="Default"/>
        <w:rPr>
          <w:color w:val="auto"/>
        </w:rPr>
      </w:pPr>
      <w:r w:rsidRPr="00A313BE">
        <w:rPr>
          <w:color w:val="auto"/>
        </w:rPr>
        <w:t xml:space="preserve">* При участие на </w:t>
      </w:r>
      <w:r w:rsidRPr="00A313BE">
        <w:rPr>
          <w:b/>
          <w:bCs/>
          <w:color w:val="auto"/>
        </w:rPr>
        <w:t>обединения</w:t>
      </w:r>
      <w:r w:rsidRPr="00A313BE">
        <w:rPr>
          <w:color w:val="auto"/>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4138FD" w:rsidRPr="00A313BE" w:rsidRDefault="004138FD" w:rsidP="004138FD">
      <w:pPr>
        <w:pStyle w:val="Default"/>
        <w:rPr>
          <w:color w:val="auto"/>
        </w:rPr>
      </w:pPr>
      <w:r w:rsidRPr="00A313BE">
        <w:rPr>
          <w:color w:val="auto"/>
        </w:rPr>
        <w:lastRenderedPageBreak/>
        <w:t xml:space="preserve">* Участниците посочват в офертата </w:t>
      </w:r>
      <w:r w:rsidRPr="00A313BE">
        <w:rPr>
          <w:b/>
          <w:bCs/>
          <w:color w:val="auto"/>
        </w:rPr>
        <w:t xml:space="preserve">подизпълнителите </w:t>
      </w:r>
      <w:r w:rsidRPr="00A313BE">
        <w:rPr>
          <w:color w:val="auto"/>
        </w:rPr>
        <w:t xml:space="preserve">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Възложителят изисква замяна на подизпълнител, който не отговаря на някое от условията поради промяна в обстоятелствата преди сключване на договора за обществена поръчка. </w:t>
      </w:r>
    </w:p>
    <w:p w:rsidR="004138FD" w:rsidRPr="00A313BE" w:rsidRDefault="004138FD" w:rsidP="003B67E0">
      <w:pPr>
        <w:pStyle w:val="Default"/>
        <w:rPr>
          <w:color w:val="auto"/>
        </w:rPr>
      </w:pPr>
      <w:r w:rsidRPr="00A313BE">
        <w:rPr>
          <w:color w:val="auto"/>
        </w:rPr>
        <w:t xml:space="preserve">Изпълнителите сключват договор за подизпълнение с подизпълнителите, посочени в офертата. Подизпълнителите нямат право да превъзлагат една или повече от дейностите, които са включени в предмета на договора за подизпълнение. </w:t>
      </w:r>
    </w:p>
    <w:p w:rsidR="004138FD" w:rsidRPr="00A313BE" w:rsidRDefault="004138FD" w:rsidP="004138FD">
      <w:pPr>
        <w:pStyle w:val="Default"/>
        <w:rPr>
          <w:color w:val="auto"/>
        </w:rPr>
      </w:pPr>
      <w:r w:rsidRPr="00A313BE">
        <w:rPr>
          <w:color w:val="auto"/>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4138FD" w:rsidRPr="00A313BE" w:rsidRDefault="004138FD" w:rsidP="004138FD">
      <w:pPr>
        <w:pStyle w:val="Default"/>
        <w:rPr>
          <w:color w:val="auto"/>
        </w:rPr>
      </w:pPr>
      <w:r w:rsidRPr="00A313BE">
        <w:rPr>
          <w:color w:val="auto"/>
        </w:rPr>
        <w:t xml:space="preserve">*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По отношение на критериите, свързани с професионална компетентност и опит за изпълнение на поръчката, участниците могат да се позоват на капацитета на </w:t>
      </w:r>
      <w:r w:rsidRPr="00A313BE">
        <w:rPr>
          <w:b/>
          <w:bCs/>
          <w:color w:val="auto"/>
        </w:rPr>
        <w:t xml:space="preserve">трети лица </w:t>
      </w:r>
      <w:r w:rsidRPr="00A313BE">
        <w:rPr>
          <w:color w:val="auto"/>
        </w:rPr>
        <w:t xml:space="preserve">само ако тези лица ще участват в изпълнението на частта от поръчката, за която е необходим този капацитет.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4138FD" w:rsidRPr="00A313BE" w:rsidRDefault="004138FD" w:rsidP="004138FD">
      <w:pPr>
        <w:pStyle w:val="Default"/>
        <w:rPr>
          <w:color w:val="auto"/>
        </w:rPr>
      </w:pPr>
      <w:r w:rsidRPr="00A313BE">
        <w:rPr>
          <w:b/>
          <w:bCs/>
          <w:color w:val="auto"/>
        </w:rPr>
        <w:t xml:space="preserve">12. Техническа спецификация и изисквания към изпълнението : </w:t>
      </w:r>
    </w:p>
    <w:p w:rsidR="004138FD" w:rsidRPr="00A313BE" w:rsidRDefault="004138FD" w:rsidP="004138FD">
      <w:pPr>
        <w:pStyle w:val="Default"/>
        <w:rPr>
          <w:color w:val="auto"/>
        </w:rPr>
      </w:pPr>
      <w:r w:rsidRPr="00A313BE">
        <w:rPr>
          <w:color w:val="auto"/>
        </w:rPr>
        <w:t xml:space="preserve">Техническата спецификация и Количествена сметка </w:t>
      </w:r>
      <w:r w:rsidR="003F392D" w:rsidRPr="00A313BE">
        <w:rPr>
          <w:color w:val="auto"/>
        </w:rPr>
        <w:t>-</w:t>
      </w:r>
      <w:r w:rsidRPr="00A313BE">
        <w:rPr>
          <w:color w:val="auto"/>
        </w:rPr>
        <w:t xml:space="preserve"> са представени към документацията. Възложителят осигурява пълен, неограничен и пряк достъп до документацията по настоящата поръчка в профила на купувача. </w:t>
      </w:r>
    </w:p>
    <w:p w:rsidR="004138FD" w:rsidRPr="00A313BE" w:rsidRDefault="004138FD" w:rsidP="004138FD">
      <w:pPr>
        <w:pStyle w:val="Default"/>
        <w:rPr>
          <w:color w:val="auto"/>
        </w:rPr>
      </w:pPr>
      <w:r w:rsidRPr="00A313BE">
        <w:rPr>
          <w:b/>
          <w:bCs/>
          <w:color w:val="auto"/>
        </w:rPr>
        <w:t xml:space="preserve">12.1. </w:t>
      </w:r>
      <w:r w:rsidRPr="00A313BE">
        <w:rPr>
          <w:color w:val="auto"/>
        </w:rPr>
        <w:t xml:space="preserve">При изпълнение на строително-монтажните дейности следва да се спазват изискванията на действащата нормативна уредба; </w:t>
      </w:r>
    </w:p>
    <w:p w:rsidR="004138FD" w:rsidRPr="00A313BE" w:rsidRDefault="004138FD" w:rsidP="004138FD">
      <w:pPr>
        <w:pStyle w:val="Default"/>
        <w:rPr>
          <w:color w:val="auto"/>
        </w:rPr>
      </w:pPr>
      <w:r w:rsidRPr="00A313BE">
        <w:rPr>
          <w:b/>
          <w:bCs/>
          <w:color w:val="auto"/>
        </w:rPr>
        <w:t xml:space="preserve">12.2. </w:t>
      </w:r>
      <w:r w:rsidRPr="00A313BE">
        <w:rPr>
          <w:color w:val="auto"/>
        </w:rPr>
        <w:t xml:space="preserve">Всеки участник трябва да е посетил </w:t>
      </w:r>
      <w:r w:rsidR="003F392D" w:rsidRPr="00A313BE">
        <w:rPr>
          <w:color w:val="auto"/>
        </w:rPr>
        <w:t>котелната централа на Възложителя</w:t>
      </w:r>
      <w:r w:rsidRPr="00A313BE">
        <w:rPr>
          <w:color w:val="auto"/>
        </w:rPr>
        <w:t xml:space="preserve">, за да се запознае с условията на място и да оцени на своя отговорност, за своя сметка и риск всички необходими фактори за подготовката на неговата оферта и подписването на договора. Всеки участник задължително представя в офертата си декларация, че е посетил строителната площадка и се е запознал с условията </w:t>
      </w:r>
      <w:r w:rsidR="003F392D" w:rsidRPr="00A313BE">
        <w:rPr>
          <w:color w:val="auto"/>
        </w:rPr>
        <w:t xml:space="preserve">на работа на </w:t>
      </w:r>
      <w:r w:rsidRPr="00A313BE">
        <w:rPr>
          <w:color w:val="auto"/>
        </w:rPr>
        <w:t xml:space="preserve"> място, за което попълва Декларация съгласно Приложение № 12 от документацията за участие. </w:t>
      </w:r>
      <w:r w:rsidR="003F392D" w:rsidRPr="00A313BE">
        <w:rPr>
          <w:color w:val="auto"/>
        </w:rPr>
        <w:t>Възложителят води регистър за изготвяне на Приложение № 12 от документацията.</w:t>
      </w:r>
    </w:p>
    <w:p w:rsidR="004138FD" w:rsidRPr="00A313BE" w:rsidRDefault="004138FD" w:rsidP="004138FD">
      <w:pPr>
        <w:pStyle w:val="Default"/>
        <w:rPr>
          <w:color w:val="auto"/>
        </w:rPr>
      </w:pPr>
      <w:r w:rsidRPr="00A313BE">
        <w:rPr>
          <w:b/>
          <w:bCs/>
          <w:color w:val="auto"/>
        </w:rPr>
        <w:t xml:space="preserve">12.3. </w:t>
      </w:r>
      <w:r w:rsidRPr="00A313BE">
        <w:rPr>
          <w:color w:val="auto"/>
        </w:rPr>
        <w:t xml:space="preserve">В единичните цени на видовете СМР от КСС да се включат всички видове операции, които технологично са необходими за извършване на конкретния вид СРР/СМР/КРР до окончателното му завършване, освен ако не са подадени от ВЪЗЛОЖИТЕЛЯ като отделна операция. В случай, че в единичната цена не са включени цени на съпътстващи операции, необходими за извършване на дадения вид СМР, няма да се допуска разплащането им като отделен (допълнителен) вид СМР и същите ще се извършват за сметка на ИЗПЪЛНИТЕЛЯ. Участникът попълва единичните цени и стойностите на съответните видове работи в приложената КСС /за съответната обособена позиция/. След остойностяване на КСС /за съответната обособена позиция/ общата стойност се отразява в Ценовото предложение </w:t>
      </w:r>
      <w:r w:rsidRPr="00A313BE">
        <w:rPr>
          <w:b/>
          <w:bCs/>
          <w:color w:val="auto"/>
        </w:rPr>
        <w:t xml:space="preserve">- </w:t>
      </w:r>
      <w:r w:rsidRPr="00A313BE">
        <w:rPr>
          <w:color w:val="auto"/>
        </w:rPr>
        <w:t xml:space="preserve">Приложение № 3. </w:t>
      </w:r>
    </w:p>
    <w:p w:rsidR="00946A59" w:rsidRPr="00A313BE" w:rsidRDefault="00946A59" w:rsidP="004138FD">
      <w:pPr>
        <w:pStyle w:val="Default"/>
        <w:rPr>
          <w:color w:val="auto"/>
        </w:rPr>
      </w:pPr>
    </w:p>
    <w:p w:rsidR="004D0C64" w:rsidRPr="00A313BE" w:rsidRDefault="004138FD" w:rsidP="004D0C64">
      <w:pPr>
        <w:pStyle w:val="Default"/>
        <w:jc w:val="both"/>
        <w:rPr>
          <w:color w:val="auto"/>
        </w:rPr>
      </w:pPr>
      <w:r w:rsidRPr="00A313BE">
        <w:rPr>
          <w:b/>
          <w:bCs/>
          <w:color w:val="auto"/>
        </w:rPr>
        <w:t xml:space="preserve">12.4 В </w:t>
      </w:r>
      <w:r w:rsidR="004D0C64" w:rsidRPr="00A313BE">
        <w:rPr>
          <w:color w:val="auto"/>
        </w:rPr>
        <w:t xml:space="preserve">Приложение № </w:t>
      </w:r>
      <w:r w:rsidR="005A0AFC" w:rsidRPr="00A313BE">
        <w:rPr>
          <w:color w:val="auto"/>
        </w:rPr>
        <w:t>2</w:t>
      </w:r>
      <w:r w:rsidR="004D0C64" w:rsidRPr="00A313BE">
        <w:rPr>
          <w:color w:val="auto"/>
        </w:rPr>
        <w:t xml:space="preserve"> – </w:t>
      </w:r>
      <w:r w:rsidR="005A0AFC" w:rsidRPr="00A313BE">
        <w:rPr>
          <w:color w:val="auto"/>
        </w:rPr>
        <w:t>Техническо п</w:t>
      </w:r>
      <w:r w:rsidR="004D0C64" w:rsidRPr="00A313BE">
        <w:rPr>
          <w:b/>
          <w:color w:val="auto"/>
        </w:rPr>
        <w:t xml:space="preserve">редложение за изпълнение на </w:t>
      </w:r>
      <w:r w:rsidR="003F392D" w:rsidRPr="00A313BE">
        <w:rPr>
          <w:b/>
          <w:color w:val="auto"/>
        </w:rPr>
        <w:t>работните процеси</w:t>
      </w:r>
      <w:r w:rsidR="004D0C64" w:rsidRPr="00A313BE">
        <w:rPr>
          <w:color w:val="auto"/>
        </w:rPr>
        <w:t xml:space="preserve">; </w:t>
      </w:r>
    </w:p>
    <w:p w:rsidR="004138FD" w:rsidRPr="00A313BE" w:rsidRDefault="004138FD" w:rsidP="008B6984">
      <w:pPr>
        <w:pStyle w:val="Default"/>
        <w:rPr>
          <w:color w:val="auto"/>
        </w:rPr>
      </w:pPr>
      <w:r w:rsidRPr="00A313BE">
        <w:rPr>
          <w:color w:val="auto"/>
        </w:rPr>
        <w:t xml:space="preserve">да се съдържат ясно и подробно посочени предложения за реализирането на всички видове СМР, минимално изискуеми като съдържание, както и да са изложени подробно мотиви относно предложената последователност на изпълнението на описаните </w:t>
      </w:r>
      <w:r w:rsidR="003F392D" w:rsidRPr="00A313BE">
        <w:rPr>
          <w:color w:val="auto"/>
        </w:rPr>
        <w:t>работни процеси</w:t>
      </w:r>
      <w:r w:rsidRPr="00A313BE">
        <w:rPr>
          <w:color w:val="auto"/>
        </w:rPr>
        <w:t xml:space="preserve">. От описанието да е видно, че при реализацията ще бъдат спазени всички нормативни изисквания; </w:t>
      </w:r>
    </w:p>
    <w:p w:rsidR="004138FD" w:rsidRPr="00A313BE" w:rsidRDefault="004138FD" w:rsidP="004138FD">
      <w:pPr>
        <w:pStyle w:val="Default"/>
        <w:rPr>
          <w:color w:val="auto"/>
        </w:rPr>
      </w:pPr>
      <w:r w:rsidRPr="00A313BE">
        <w:rPr>
          <w:color w:val="auto"/>
        </w:rPr>
        <w:t xml:space="preserve">Всички дейности, предмет на поръчката, да са обезпечени с хора и машини, като разпределението им да е съобразено със срока за изпълнение на съответната дейност; </w:t>
      </w:r>
    </w:p>
    <w:p w:rsidR="004138FD" w:rsidRPr="00A313BE" w:rsidRDefault="004138FD" w:rsidP="004138FD">
      <w:pPr>
        <w:pStyle w:val="Default"/>
        <w:rPr>
          <w:color w:val="auto"/>
        </w:rPr>
      </w:pPr>
      <w:r w:rsidRPr="00A313BE">
        <w:rPr>
          <w:color w:val="auto"/>
        </w:rPr>
        <w:t xml:space="preserve">В списъка на основните материали от техническото предложение към офертата ясно и подробно да са посочени видовете материали, които участникът предвижда да използва за изпълнението на поръчката; </w:t>
      </w:r>
    </w:p>
    <w:p w:rsidR="007639DD" w:rsidRPr="00A313BE" w:rsidRDefault="004138FD" w:rsidP="007639DD">
      <w:pPr>
        <w:spacing w:after="0"/>
        <w:jc w:val="center"/>
        <w:rPr>
          <w:rFonts w:ascii="Times New Roman" w:hAnsi="Times New Roman" w:cs="Times New Roman"/>
          <w:b/>
          <w:sz w:val="24"/>
          <w:szCs w:val="24"/>
        </w:rPr>
      </w:pPr>
      <w:r w:rsidRPr="00A313BE">
        <w:rPr>
          <w:rFonts w:ascii="Times New Roman" w:hAnsi="Times New Roman" w:cs="Times New Roman"/>
          <w:b/>
          <w:bCs/>
          <w:sz w:val="24"/>
          <w:szCs w:val="24"/>
        </w:rPr>
        <w:t xml:space="preserve">12.5. </w:t>
      </w:r>
      <w:r w:rsidRPr="00A313BE">
        <w:rPr>
          <w:rFonts w:ascii="Times New Roman" w:hAnsi="Times New Roman" w:cs="Times New Roman"/>
          <w:sz w:val="24"/>
          <w:szCs w:val="24"/>
        </w:rPr>
        <w:t>Гаранционните срокове</w:t>
      </w:r>
      <w:r w:rsidR="003F392D" w:rsidRPr="00A313BE">
        <w:rPr>
          <w:rFonts w:ascii="Times New Roman" w:hAnsi="Times New Roman" w:cs="Times New Roman"/>
          <w:sz w:val="24"/>
          <w:szCs w:val="24"/>
        </w:rPr>
        <w:t xml:space="preserve"> - </w:t>
      </w:r>
      <w:r w:rsidRPr="00A313BE">
        <w:rPr>
          <w:rFonts w:ascii="Times New Roman" w:hAnsi="Times New Roman" w:cs="Times New Roman"/>
          <w:sz w:val="24"/>
          <w:szCs w:val="24"/>
        </w:rPr>
        <w:t xml:space="preserve"> </w:t>
      </w:r>
      <w:r w:rsidR="007639DD" w:rsidRPr="00A313BE">
        <w:rPr>
          <w:rFonts w:ascii="Times New Roman" w:hAnsi="Times New Roman" w:cs="Times New Roman"/>
          <w:sz w:val="24"/>
          <w:szCs w:val="24"/>
        </w:rPr>
        <w:t xml:space="preserve">съгласно </w:t>
      </w:r>
      <w:r w:rsidR="007639DD" w:rsidRPr="00A313BE">
        <w:rPr>
          <w:rFonts w:ascii="Times New Roman" w:hAnsi="Times New Roman" w:cs="Times New Roman"/>
          <w:b/>
          <w:sz w:val="24"/>
          <w:szCs w:val="24"/>
        </w:rPr>
        <w:t>ТЕХНИЧЕСКАТА СПЕЦИФИКАЦИЯ</w:t>
      </w:r>
      <w:r w:rsidR="00875640" w:rsidRPr="00A313BE">
        <w:rPr>
          <w:rFonts w:ascii="Times New Roman" w:hAnsi="Times New Roman" w:cs="Times New Roman"/>
          <w:b/>
          <w:sz w:val="24"/>
          <w:szCs w:val="24"/>
        </w:rPr>
        <w:t>.</w:t>
      </w:r>
    </w:p>
    <w:p w:rsidR="004138FD" w:rsidRPr="00A313BE" w:rsidRDefault="004138FD" w:rsidP="004138FD">
      <w:pPr>
        <w:pStyle w:val="Default"/>
        <w:rPr>
          <w:color w:val="auto"/>
        </w:rPr>
      </w:pPr>
    </w:p>
    <w:p w:rsidR="004138FD" w:rsidRPr="00A313BE" w:rsidRDefault="004138FD" w:rsidP="004138FD">
      <w:pPr>
        <w:pStyle w:val="Default"/>
        <w:rPr>
          <w:color w:val="auto"/>
        </w:rPr>
      </w:pPr>
      <w:r w:rsidRPr="00A313BE">
        <w:rPr>
          <w:b/>
          <w:bCs/>
          <w:color w:val="auto"/>
        </w:rPr>
        <w:t xml:space="preserve">12.6. </w:t>
      </w:r>
      <w:r w:rsidRPr="00A313BE">
        <w:rPr>
          <w:color w:val="auto"/>
        </w:rPr>
        <w:t xml:space="preserve">След приключване на </w:t>
      </w:r>
      <w:r w:rsidR="007639DD" w:rsidRPr="00A313BE">
        <w:rPr>
          <w:color w:val="auto"/>
        </w:rPr>
        <w:t>работите -</w:t>
      </w:r>
      <w:r w:rsidRPr="00A313BE">
        <w:rPr>
          <w:color w:val="auto"/>
        </w:rPr>
        <w:t xml:space="preserve"> Изпълнителят е длъжен да възстанови строителната площадка в първоначалния ѝ вид, като изтегли цялата си механизация и всички невложени материали. Площадката трябва да бъде изчистена от отпадъци. </w:t>
      </w:r>
    </w:p>
    <w:p w:rsidR="004138FD" w:rsidRPr="00A313BE" w:rsidRDefault="004138FD" w:rsidP="004138FD">
      <w:pPr>
        <w:pStyle w:val="Default"/>
        <w:rPr>
          <w:color w:val="auto"/>
        </w:rPr>
      </w:pPr>
      <w:r w:rsidRPr="00A313BE">
        <w:rPr>
          <w:b/>
          <w:bCs/>
          <w:color w:val="auto"/>
        </w:rPr>
        <w:t xml:space="preserve">12.7. </w:t>
      </w:r>
      <w:r w:rsidRPr="00A313BE">
        <w:rPr>
          <w:color w:val="auto"/>
        </w:rPr>
        <w:t xml:space="preserve">По време на изпълнение на СМР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относно безопасността и хигиената на труда, техническата и пожарна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 </w:t>
      </w:r>
    </w:p>
    <w:p w:rsidR="004138FD" w:rsidRPr="00A313BE" w:rsidRDefault="004138FD" w:rsidP="004138FD">
      <w:pPr>
        <w:pStyle w:val="Default"/>
        <w:rPr>
          <w:color w:val="auto"/>
        </w:rPr>
      </w:pPr>
      <w:r w:rsidRPr="00A313BE">
        <w:rPr>
          <w:b/>
          <w:bCs/>
          <w:color w:val="auto"/>
        </w:rPr>
        <w:t xml:space="preserve">13. Офертите на участниците следва да съдържат следните документи: </w:t>
      </w:r>
    </w:p>
    <w:p w:rsidR="004138FD" w:rsidRPr="00A313BE" w:rsidRDefault="004138FD" w:rsidP="004138FD">
      <w:pPr>
        <w:pStyle w:val="Default"/>
        <w:rPr>
          <w:color w:val="auto"/>
        </w:rPr>
      </w:pPr>
      <w:r w:rsidRPr="00A313BE">
        <w:rPr>
          <w:b/>
          <w:bCs/>
          <w:color w:val="auto"/>
        </w:rPr>
        <w:t xml:space="preserve">13.1. </w:t>
      </w:r>
      <w:r w:rsidRPr="00A313BE">
        <w:rPr>
          <w:color w:val="auto"/>
        </w:rPr>
        <w:t xml:space="preserve">Опис на представените документи </w:t>
      </w:r>
      <w:r w:rsidRPr="00A313BE">
        <w:rPr>
          <w:b/>
          <w:bCs/>
          <w:color w:val="auto"/>
        </w:rPr>
        <w:t>(Приложение №А)</w:t>
      </w:r>
      <w:r w:rsidRPr="00A313BE">
        <w:rPr>
          <w:color w:val="auto"/>
        </w:rPr>
        <w:t xml:space="preserve">; </w:t>
      </w:r>
    </w:p>
    <w:p w:rsidR="004138FD" w:rsidRPr="00A313BE" w:rsidRDefault="004138FD" w:rsidP="004138FD">
      <w:pPr>
        <w:pStyle w:val="Default"/>
        <w:rPr>
          <w:color w:val="auto"/>
        </w:rPr>
      </w:pPr>
      <w:r w:rsidRPr="00A313BE">
        <w:rPr>
          <w:b/>
          <w:bCs/>
          <w:color w:val="auto"/>
        </w:rPr>
        <w:t xml:space="preserve">13.2. </w:t>
      </w:r>
      <w:r w:rsidRPr="00A313BE">
        <w:rPr>
          <w:color w:val="auto"/>
        </w:rPr>
        <w:t>Оферта (</w:t>
      </w:r>
      <w:r w:rsidRPr="00A313BE">
        <w:rPr>
          <w:b/>
          <w:bCs/>
          <w:color w:val="auto"/>
        </w:rPr>
        <w:t>Приложение №1</w:t>
      </w:r>
      <w:r w:rsidRPr="00A313BE">
        <w:rPr>
          <w:color w:val="auto"/>
        </w:rPr>
        <w:t xml:space="preserve">) </w:t>
      </w:r>
    </w:p>
    <w:p w:rsidR="004138FD" w:rsidRPr="00A313BE" w:rsidRDefault="004138FD" w:rsidP="004138FD">
      <w:pPr>
        <w:pStyle w:val="Default"/>
        <w:rPr>
          <w:color w:val="auto"/>
        </w:rPr>
      </w:pPr>
      <w:r w:rsidRPr="00A313BE">
        <w:rPr>
          <w:b/>
          <w:bCs/>
          <w:color w:val="auto"/>
        </w:rPr>
        <w:t xml:space="preserve">13.3. </w:t>
      </w:r>
      <w:r w:rsidRPr="00A313BE">
        <w:rPr>
          <w:color w:val="auto"/>
        </w:rPr>
        <w:t>Техническо предложение (</w:t>
      </w:r>
      <w:r w:rsidRPr="00A313BE">
        <w:rPr>
          <w:b/>
          <w:bCs/>
          <w:color w:val="auto"/>
        </w:rPr>
        <w:t>Приложение №2)</w:t>
      </w:r>
      <w:r w:rsidRPr="00A313BE">
        <w:rPr>
          <w:color w:val="auto"/>
        </w:rPr>
        <w:t xml:space="preserve">, </w:t>
      </w:r>
    </w:p>
    <w:p w:rsidR="00AB41DD" w:rsidRPr="00A313BE" w:rsidRDefault="004138FD" w:rsidP="00AB41DD">
      <w:pPr>
        <w:pStyle w:val="Default"/>
        <w:jc w:val="both"/>
        <w:rPr>
          <w:color w:val="auto"/>
        </w:rPr>
      </w:pPr>
      <w:r w:rsidRPr="00A313BE">
        <w:rPr>
          <w:b/>
          <w:bCs/>
          <w:color w:val="auto"/>
        </w:rPr>
        <w:t>13.4</w:t>
      </w:r>
      <w:r w:rsidRPr="00A313BE">
        <w:rPr>
          <w:color w:val="auto"/>
        </w:rPr>
        <w:t>. Ценова оферта (</w:t>
      </w:r>
      <w:r w:rsidRPr="00A313BE">
        <w:rPr>
          <w:b/>
          <w:bCs/>
          <w:color w:val="auto"/>
        </w:rPr>
        <w:t>Приложение №3</w:t>
      </w:r>
      <w:r w:rsidRPr="00A313BE">
        <w:rPr>
          <w:color w:val="auto"/>
        </w:rPr>
        <w:t xml:space="preserve">) </w:t>
      </w:r>
    </w:p>
    <w:p w:rsidR="00443357" w:rsidRPr="00A313BE" w:rsidRDefault="004138FD" w:rsidP="00443357">
      <w:pPr>
        <w:pStyle w:val="Default"/>
        <w:rPr>
          <w:color w:val="auto"/>
        </w:rPr>
      </w:pPr>
      <w:r w:rsidRPr="00A313BE">
        <w:rPr>
          <w:b/>
          <w:bCs/>
          <w:color w:val="auto"/>
        </w:rPr>
        <w:t>13.5</w:t>
      </w:r>
      <w:r w:rsidRPr="00A313BE">
        <w:rPr>
          <w:color w:val="auto"/>
        </w:rPr>
        <w:t>. Декларация за съответствие с критериите за подбор (</w:t>
      </w:r>
      <w:r w:rsidRPr="00A313BE">
        <w:rPr>
          <w:b/>
          <w:bCs/>
          <w:color w:val="auto"/>
        </w:rPr>
        <w:t>Приложение №4</w:t>
      </w:r>
      <w:r w:rsidRPr="00A313BE">
        <w:rPr>
          <w:color w:val="auto"/>
        </w:rPr>
        <w:t xml:space="preserve">) </w:t>
      </w:r>
    </w:p>
    <w:p w:rsidR="004138FD" w:rsidRPr="00A313BE" w:rsidRDefault="004138FD" w:rsidP="00443357">
      <w:pPr>
        <w:pStyle w:val="Default"/>
        <w:rPr>
          <w:color w:val="auto"/>
        </w:rPr>
      </w:pPr>
      <w:r w:rsidRPr="00A313BE">
        <w:rPr>
          <w:b/>
          <w:bCs/>
          <w:color w:val="auto"/>
        </w:rPr>
        <w:t xml:space="preserve">13.6. </w:t>
      </w:r>
      <w:r w:rsidRPr="00A313BE">
        <w:rPr>
          <w:color w:val="auto"/>
        </w:rPr>
        <w:t>Декларация (</w:t>
      </w:r>
      <w:r w:rsidRPr="00A313BE">
        <w:rPr>
          <w:b/>
          <w:bCs/>
          <w:color w:val="auto"/>
        </w:rPr>
        <w:t>Приложение №5</w:t>
      </w:r>
      <w:r w:rsidRPr="00A313BE">
        <w:rPr>
          <w:color w:val="auto"/>
        </w:rPr>
        <w:t xml:space="preserve">) за липса на обстоятелствата по чл. 54, ал. 1, т. 1, 2 и 7 от ЗОП; </w:t>
      </w:r>
    </w:p>
    <w:p w:rsidR="004138FD" w:rsidRPr="00A313BE" w:rsidRDefault="004138FD" w:rsidP="004138FD">
      <w:pPr>
        <w:pStyle w:val="Default"/>
        <w:rPr>
          <w:color w:val="auto"/>
        </w:rPr>
      </w:pPr>
      <w:r w:rsidRPr="00A313BE">
        <w:rPr>
          <w:b/>
          <w:bCs/>
          <w:color w:val="auto"/>
        </w:rPr>
        <w:t>13.7</w:t>
      </w:r>
      <w:r w:rsidRPr="00A313BE">
        <w:rPr>
          <w:color w:val="auto"/>
        </w:rPr>
        <w:t>. Декларация (</w:t>
      </w:r>
      <w:r w:rsidRPr="00A313BE">
        <w:rPr>
          <w:b/>
          <w:bCs/>
          <w:color w:val="auto"/>
        </w:rPr>
        <w:t>Приложение №6</w:t>
      </w:r>
      <w:r w:rsidRPr="00A313BE">
        <w:rPr>
          <w:color w:val="auto"/>
        </w:rPr>
        <w:t xml:space="preserve">) за липса на обстоятелствата по чл. 54, ал. 1, т. 3 – 6 от ЗОП; </w:t>
      </w:r>
    </w:p>
    <w:p w:rsidR="004138FD" w:rsidRPr="00A313BE" w:rsidRDefault="004138FD" w:rsidP="004138FD">
      <w:pPr>
        <w:pStyle w:val="Default"/>
        <w:rPr>
          <w:color w:val="auto"/>
        </w:rPr>
      </w:pPr>
      <w:r w:rsidRPr="00A313BE">
        <w:rPr>
          <w:b/>
          <w:bCs/>
          <w:color w:val="auto"/>
        </w:rPr>
        <w:t xml:space="preserve">13.8. </w:t>
      </w:r>
      <w:r w:rsidRPr="00A313BE">
        <w:rPr>
          <w:color w:val="auto"/>
        </w:rPr>
        <w:t>Декларация (</w:t>
      </w:r>
      <w:r w:rsidRPr="00A313BE">
        <w:rPr>
          <w:b/>
          <w:bCs/>
          <w:color w:val="auto"/>
        </w:rPr>
        <w:t>Приложение №7</w:t>
      </w:r>
      <w:r w:rsidRPr="00A313BE">
        <w:rPr>
          <w:color w:val="auto"/>
        </w:rPr>
        <w:t xml:space="preserve">), за съгласие за участие като подизпълнител </w:t>
      </w:r>
    </w:p>
    <w:p w:rsidR="004138FD" w:rsidRPr="00A313BE" w:rsidRDefault="004138FD" w:rsidP="004138FD">
      <w:pPr>
        <w:pStyle w:val="Default"/>
        <w:rPr>
          <w:color w:val="auto"/>
        </w:rPr>
      </w:pPr>
      <w:r w:rsidRPr="00A313BE">
        <w:rPr>
          <w:b/>
          <w:bCs/>
          <w:color w:val="auto"/>
        </w:rPr>
        <w:t xml:space="preserve">13.9. </w:t>
      </w:r>
      <w:r w:rsidRPr="00A313BE">
        <w:rPr>
          <w:color w:val="auto"/>
        </w:rPr>
        <w:t>Декларация (</w:t>
      </w:r>
      <w:r w:rsidRPr="00A313BE">
        <w:rPr>
          <w:b/>
          <w:bCs/>
          <w:color w:val="auto"/>
        </w:rPr>
        <w:t>Приложение №8</w:t>
      </w:r>
      <w:r w:rsidRPr="00A313BE">
        <w:rPr>
          <w:color w:val="auto"/>
        </w:rPr>
        <w:t xml:space="preserve">), за съгласие за предоставяне на капацитет от трети лица </w:t>
      </w:r>
    </w:p>
    <w:p w:rsidR="004138FD" w:rsidRPr="00A313BE" w:rsidRDefault="004138FD" w:rsidP="004138FD">
      <w:pPr>
        <w:pStyle w:val="Default"/>
        <w:rPr>
          <w:color w:val="auto"/>
        </w:rPr>
      </w:pPr>
      <w:r w:rsidRPr="00A313BE">
        <w:rPr>
          <w:b/>
          <w:bCs/>
          <w:color w:val="auto"/>
        </w:rPr>
        <w:t>13.10.</w:t>
      </w:r>
      <w:r w:rsidRPr="00A313BE">
        <w:rPr>
          <w:color w:val="auto"/>
        </w:rPr>
        <w:t>Декларация (</w:t>
      </w:r>
      <w:r w:rsidRPr="00A313BE">
        <w:rPr>
          <w:b/>
          <w:bCs/>
          <w:color w:val="auto"/>
        </w:rPr>
        <w:t xml:space="preserve">Приложение №9), </w:t>
      </w:r>
      <w:r w:rsidRPr="00A313BE">
        <w:rPr>
          <w:color w:val="auto"/>
        </w:rPr>
        <w:t>по  чл. 3, т. 8 и чл. 4 от ЗИФОДРЮПДРКТЛТДС</w:t>
      </w:r>
    </w:p>
    <w:p w:rsidR="004138FD" w:rsidRPr="00A313BE" w:rsidRDefault="004138FD" w:rsidP="004138FD">
      <w:pPr>
        <w:pStyle w:val="Default"/>
        <w:rPr>
          <w:color w:val="auto"/>
        </w:rPr>
      </w:pPr>
      <w:r w:rsidRPr="00A313BE">
        <w:rPr>
          <w:b/>
          <w:bCs/>
          <w:color w:val="auto"/>
        </w:rPr>
        <w:t>13.11.</w:t>
      </w:r>
      <w:r w:rsidRPr="00A313BE">
        <w:rPr>
          <w:color w:val="auto"/>
        </w:rPr>
        <w:t>Декларация по чл.69 от ЗПКОНПИ (</w:t>
      </w:r>
      <w:r w:rsidRPr="00A313BE">
        <w:rPr>
          <w:b/>
          <w:bCs/>
          <w:color w:val="auto"/>
        </w:rPr>
        <w:t>Приложение №10)</w:t>
      </w:r>
    </w:p>
    <w:p w:rsidR="004138FD" w:rsidRPr="00A313BE" w:rsidRDefault="004138FD" w:rsidP="004138FD">
      <w:pPr>
        <w:pStyle w:val="Default"/>
        <w:rPr>
          <w:color w:val="auto"/>
        </w:rPr>
      </w:pPr>
      <w:r w:rsidRPr="00A313BE">
        <w:rPr>
          <w:b/>
          <w:bCs/>
          <w:color w:val="auto"/>
        </w:rPr>
        <w:t xml:space="preserve">13.12. </w:t>
      </w:r>
      <w:r w:rsidRPr="00A313BE">
        <w:rPr>
          <w:color w:val="auto"/>
        </w:rPr>
        <w:t>Сведения за участника и декларация (</w:t>
      </w:r>
      <w:r w:rsidRPr="00A313BE">
        <w:rPr>
          <w:b/>
          <w:bCs/>
          <w:color w:val="auto"/>
        </w:rPr>
        <w:t>Приложение №11</w:t>
      </w:r>
      <w:r w:rsidRPr="00A313BE">
        <w:rPr>
          <w:color w:val="auto"/>
        </w:rPr>
        <w:t xml:space="preserve">) </w:t>
      </w:r>
    </w:p>
    <w:p w:rsidR="004138FD" w:rsidRPr="00A313BE" w:rsidRDefault="004138FD" w:rsidP="004138FD">
      <w:pPr>
        <w:pStyle w:val="Default"/>
        <w:rPr>
          <w:color w:val="auto"/>
        </w:rPr>
      </w:pPr>
      <w:r w:rsidRPr="00A313BE">
        <w:rPr>
          <w:b/>
          <w:bCs/>
          <w:color w:val="auto"/>
        </w:rPr>
        <w:t xml:space="preserve">13.13. </w:t>
      </w:r>
      <w:r w:rsidRPr="00A313BE">
        <w:rPr>
          <w:color w:val="auto"/>
        </w:rPr>
        <w:t xml:space="preserve">Декларация за запознаване с условията на строитлената площадка </w:t>
      </w:r>
      <w:r w:rsidRPr="00A313BE">
        <w:rPr>
          <w:b/>
          <w:bCs/>
          <w:color w:val="auto"/>
        </w:rPr>
        <w:t xml:space="preserve">(Приложение №12) </w:t>
      </w:r>
    </w:p>
    <w:p w:rsidR="004138FD" w:rsidRPr="00A313BE" w:rsidRDefault="004138FD" w:rsidP="004138FD">
      <w:pPr>
        <w:pStyle w:val="Default"/>
        <w:rPr>
          <w:color w:val="auto"/>
        </w:rPr>
      </w:pPr>
      <w:r w:rsidRPr="00A313BE">
        <w:rPr>
          <w:b/>
          <w:bCs/>
          <w:color w:val="auto"/>
        </w:rPr>
        <w:t xml:space="preserve">13.14. </w:t>
      </w:r>
      <w:r w:rsidRPr="00A313BE">
        <w:rPr>
          <w:color w:val="auto"/>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настоящата документация; </w:t>
      </w:r>
    </w:p>
    <w:p w:rsidR="004138FD" w:rsidRPr="00A313BE" w:rsidRDefault="004138FD" w:rsidP="004138FD">
      <w:pPr>
        <w:pStyle w:val="Default"/>
        <w:rPr>
          <w:color w:val="auto"/>
        </w:rPr>
      </w:pPr>
      <w:r w:rsidRPr="00A313BE">
        <w:rPr>
          <w:b/>
          <w:bCs/>
          <w:color w:val="auto"/>
        </w:rPr>
        <w:t xml:space="preserve">13.15. </w:t>
      </w:r>
      <w:r w:rsidRPr="00A313BE">
        <w:rPr>
          <w:color w:val="auto"/>
        </w:rPr>
        <w:t xml:space="preserve">Други документи. </w:t>
      </w:r>
    </w:p>
    <w:p w:rsidR="004138FD" w:rsidRPr="00A313BE" w:rsidRDefault="004138FD" w:rsidP="004138FD">
      <w:pPr>
        <w:pStyle w:val="Default"/>
        <w:rPr>
          <w:color w:val="auto"/>
        </w:rPr>
      </w:pPr>
      <w:r w:rsidRPr="00A313BE">
        <w:rPr>
          <w:b/>
          <w:bCs/>
          <w:color w:val="auto"/>
        </w:rPr>
        <w:t xml:space="preserve">14. Изисквания към офертите и подаване на офертите: </w:t>
      </w:r>
    </w:p>
    <w:p w:rsidR="004138FD" w:rsidRPr="00A313BE" w:rsidRDefault="004138FD" w:rsidP="004138FD">
      <w:pPr>
        <w:pStyle w:val="Default"/>
        <w:rPr>
          <w:color w:val="auto"/>
        </w:rPr>
      </w:pPr>
      <w:r w:rsidRPr="00A313BE">
        <w:rPr>
          <w:b/>
          <w:bCs/>
          <w:color w:val="auto"/>
        </w:rPr>
        <w:t xml:space="preserve">14.1. Изисквания към офертите: </w:t>
      </w:r>
    </w:p>
    <w:p w:rsidR="004138FD" w:rsidRPr="00A313BE" w:rsidRDefault="004138FD" w:rsidP="004138FD">
      <w:pPr>
        <w:pStyle w:val="Default"/>
        <w:rPr>
          <w:color w:val="auto"/>
        </w:rPr>
      </w:pPr>
      <w:r w:rsidRPr="00A313BE">
        <w:rPr>
          <w:b/>
          <w:bCs/>
          <w:color w:val="auto"/>
        </w:rPr>
        <w:lastRenderedPageBreak/>
        <w:t xml:space="preserve">14.1.1. </w:t>
      </w:r>
      <w:r w:rsidRPr="00A313BE">
        <w:rPr>
          <w:color w:val="auto"/>
        </w:rPr>
        <w:t xml:space="preserve">Оферта за участие в поръчката могат да подават всички заинтересовани лица, които отговарят на предварително обявените условия на Възложителя. </w:t>
      </w:r>
    </w:p>
    <w:p w:rsidR="004138FD" w:rsidRPr="00A313BE" w:rsidRDefault="004138FD" w:rsidP="004138FD">
      <w:pPr>
        <w:pStyle w:val="Default"/>
        <w:rPr>
          <w:color w:val="auto"/>
        </w:rPr>
      </w:pPr>
      <w:r w:rsidRPr="00A313BE">
        <w:rPr>
          <w:b/>
          <w:bCs/>
          <w:color w:val="auto"/>
        </w:rPr>
        <w:t xml:space="preserve">14.1.2. </w:t>
      </w:r>
      <w:r w:rsidRPr="00A313BE">
        <w:rPr>
          <w:color w:val="auto"/>
        </w:rPr>
        <w:t xml:space="preserve">Офертата за участие трябва да бъде изготвена съгласно поставените от Възложителя изисквания в документацията. Офертата следва да бъде оформена по приложените към документацията образци. Условията в образците от документацията за участие са задължителни за участниците и не могат да бъдат променяни от тях. Към офертата следва да са приложени всички изискуеми от Възложителя документи. </w:t>
      </w:r>
    </w:p>
    <w:p w:rsidR="004138FD" w:rsidRPr="00A313BE" w:rsidRDefault="004138FD" w:rsidP="004138FD">
      <w:pPr>
        <w:pStyle w:val="Default"/>
        <w:rPr>
          <w:color w:val="auto"/>
        </w:rPr>
      </w:pPr>
      <w:r w:rsidRPr="00A313BE">
        <w:rPr>
          <w:b/>
          <w:bCs/>
          <w:color w:val="auto"/>
        </w:rPr>
        <w:t xml:space="preserve">14.1.3. </w:t>
      </w:r>
      <w:r w:rsidRPr="00A313BE">
        <w:rPr>
          <w:color w:val="auto"/>
        </w:rPr>
        <w:t xml:space="preserve">Участник в поръчката има право да представи само една оферта. Не се допуска представяне на варианти в офертата. </w:t>
      </w:r>
    </w:p>
    <w:p w:rsidR="004138FD" w:rsidRPr="00A313BE" w:rsidRDefault="004138FD" w:rsidP="004138FD">
      <w:pPr>
        <w:pStyle w:val="Default"/>
        <w:rPr>
          <w:color w:val="auto"/>
        </w:rPr>
      </w:pPr>
      <w:r w:rsidRPr="00A313BE">
        <w:rPr>
          <w:b/>
          <w:bCs/>
          <w:color w:val="auto"/>
        </w:rPr>
        <w:t xml:space="preserve">14.1.4. </w:t>
      </w:r>
      <w:r w:rsidRPr="00A313BE">
        <w:rPr>
          <w:color w:val="auto"/>
        </w:rPr>
        <w:t xml:space="preserve">Офертата на участника трябва да бъде представена на български език. Всички приложени към нея документи и информация следва да бъдат представени на български език или придружени от превод на български език. </w:t>
      </w:r>
    </w:p>
    <w:p w:rsidR="004138FD" w:rsidRPr="00A313BE" w:rsidRDefault="004138FD" w:rsidP="004138FD">
      <w:pPr>
        <w:pStyle w:val="Default"/>
        <w:rPr>
          <w:color w:val="auto"/>
        </w:rPr>
      </w:pPr>
      <w:r w:rsidRPr="00A313BE">
        <w:rPr>
          <w:b/>
          <w:bCs/>
          <w:color w:val="auto"/>
        </w:rPr>
        <w:t xml:space="preserve">14.1.5. </w:t>
      </w:r>
      <w:r w:rsidRPr="00A313BE">
        <w:rPr>
          <w:color w:val="auto"/>
        </w:rPr>
        <w:t xml:space="preserve">Офертата на участника и всички приложени към нея документи и информация по образци на Възложителя следва да бъдат представени в оригинал. Всички останали документи и информация следва да бъдат представени в оригинал или копие, заверено с подписа на подаващия офертата, и текстово обозначение „Вярно с оригинала”. 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 текста “Вярно с оригинала”. Задължително следва да има собственоръчен подпис на представляващия участника и положен печат. В случаите, в които участникът е обединение, което не разполага със собствен печат, върху документа може да бъде положен печат на един от партньорите в обединението. </w:t>
      </w:r>
    </w:p>
    <w:p w:rsidR="004138FD" w:rsidRPr="00A313BE" w:rsidRDefault="004138FD" w:rsidP="00E65D78">
      <w:pPr>
        <w:pStyle w:val="Default"/>
        <w:jc w:val="both"/>
        <w:rPr>
          <w:color w:val="auto"/>
        </w:rPr>
      </w:pPr>
      <w:r w:rsidRPr="00A313BE">
        <w:rPr>
          <w:b/>
          <w:bCs/>
          <w:color w:val="auto"/>
        </w:rPr>
        <w:t xml:space="preserve">14.2. Подаване на офертите: </w:t>
      </w:r>
    </w:p>
    <w:p w:rsidR="004138FD" w:rsidRPr="00A313BE" w:rsidRDefault="004138FD" w:rsidP="00E65D78">
      <w:pPr>
        <w:pStyle w:val="Default"/>
        <w:jc w:val="both"/>
        <w:rPr>
          <w:color w:val="auto"/>
        </w:rPr>
      </w:pPr>
      <w:r w:rsidRPr="00A313BE">
        <w:rPr>
          <w:color w:val="auto"/>
        </w:rPr>
        <w:t xml:space="preserve">Офертата се представя в запечатана непрозрачна опаковка от участника лично или от упълномощен от него представител в деловодството на </w:t>
      </w:r>
      <w:r w:rsidR="00EE6F6B" w:rsidRPr="00A313BE">
        <w:rPr>
          <w:color w:val="auto"/>
        </w:rPr>
        <w:t>ДПБ „Св.ИВАН РИЛСКИ”</w:t>
      </w:r>
      <w:r w:rsidRPr="00A313BE">
        <w:rPr>
          <w:color w:val="auto"/>
        </w:rPr>
        <w:t xml:space="preserve"> или по пощата с препоръчано писмо с обратна разписка или чрез куриерска служба, на адреса, посочен от Възложителя. </w:t>
      </w:r>
    </w:p>
    <w:p w:rsidR="004138FD" w:rsidRPr="00A313BE" w:rsidRDefault="004138FD" w:rsidP="00E65D78">
      <w:pPr>
        <w:pStyle w:val="Default"/>
        <w:jc w:val="both"/>
        <w:rPr>
          <w:color w:val="auto"/>
        </w:rPr>
      </w:pPr>
      <w:r w:rsidRPr="00A313BE">
        <w:rPr>
          <w:color w:val="auto"/>
        </w:rPr>
        <w:t xml:space="preserve">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крайния срок за подаване на офертите. Рискът от забава или загубване на офертата е за участника. Участникът не може да иска от Възложителя съдействия, като получаване чрез поискване от пощенски клон; взаимодействия с куриери или други. </w:t>
      </w:r>
    </w:p>
    <w:p w:rsidR="004138FD" w:rsidRPr="00A313BE" w:rsidRDefault="004138FD" w:rsidP="004138FD">
      <w:pPr>
        <w:pStyle w:val="Default"/>
        <w:rPr>
          <w:color w:val="auto"/>
        </w:rPr>
      </w:pPr>
      <w:r w:rsidRPr="00A313BE">
        <w:rPr>
          <w:color w:val="auto"/>
        </w:rPr>
        <w:t xml:space="preserve">Върху опаковката участникът записва “Оферта”, посочва наименованието на поръчката, наименованието на участника, включително участниците в обединението, когато е приложимо, обособената позиция, адрес за кореспонденция, телефон и по възможност факс и електронен адрес. </w:t>
      </w:r>
    </w:p>
    <w:p w:rsidR="004138FD" w:rsidRPr="00A313BE" w:rsidRDefault="004138FD" w:rsidP="004138FD">
      <w:pPr>
        <w:pStyle w:val="Default"/>
        <w:rPr>
          <w:color w:val="auto"/>
        </w:rPr>
      </w:pPr>
      <w:r w:rsidRPr="00A313BE">
        <w:rPr>
          <w:color w:val="auto"/>
        </w:rPr>
        <w:t xml:space="preserve">Върху опаковката, съдържаща офертата, деловодителят отбелязва поредния номер, час и датата на завеждане. </w:t>
      </w:r>
    </w:p>
    <w:p w:rsidR="004138FD" w:rsidRPr="00A313BE" w:rsidRDefault="004138FD" w:rsidP="004138FD">
      <w:pPr>
        <w:pStyle w:val="Default"/>
        <w:rPr>
          <w:color w:val="auto"/>
        </w:rPr>
      </w:pPr>
      <w:r w:rsidRPr="00A313BE">
        <w:rPr>
          <w:color w:val="auto"/>
        </w:rPr>
        <w:t xml:space="preserve">Приложенията в документацията за участие и условията, описани в тях, са задължителни за участниците. Ако офертата не е представена в съответните образци, Възложителят може да отстрани участника поради несъответствие на офертата с изискванията на документацията за участие. </w:t>
      </w:r>
    </w:p>
    <w:p w:rsidR="004138FD" w:rsidRPr="00A313BE" w:rsidRDefault="004138FD" w:rsidP="004138FD">
      <w:pPr>
        <w:pStyle w:val="Default"/>
        <w:rPr>
          <w:color w:val="auto"/>
        </w:rPr>
      </w:pPr>
      <w:r w:rsidRPr="00A313BE">
        <w:rPr>
          <w:b/>
          <w:bCs/>
          <w:color w:val="auto"/>
        </w:rPr>
        <w:t xml:space="preserve">Забележка: </w:t>
      </w:r>
      <w:r w:rsidRPr="00A313BE">
        <w:rPr>
          <w:color w:val="auto"/>
        </w:rPr>
        <w:t xml:space="preserve">Оферти, получени след крайния срок, ще бъдат връщани незабавно на участника и няма да бъдат разглеждани. </w:t>
      </w:r>
    </w:p>
    <w:p w:rsidR="004138FD" w:rsidRPr="00A313BE" w:rsidRDefault="004138FD" w:rsidP="004138FD">
      <w:pPr>
        <w:pStyle w:val="Default"/>
        <w:rPr>
          <w:color w:val="auto"/>
        </w:rPr>
      </w:pPr>
      <w:r w:rsidRPr="00A313BE">
        <w:rPr>
          <w:b/>
          <w:bCs/>
          <w:color w:val="auto"/>
        </w:rPr>
        <w:t xml:space="preserve">15. Срок за подаване на офертите: </w:t>
      </w:r>
      <w:r w:rsidRPr="00A313BE">
        <w:rPr>
          <w:color w:val="auto"/>
        </w:rPr>
        <w:t xml:space="preserve">съгласно Обявата за обществане поръчка. </w:t>
      </w:r>
    </w:p>
    <w:p w:rsidR="004138FD" w:rsidRPr="00A313BE" w:rsidRDefault="004138FD" w:rsidP="004138FD">
      <w:pPr>
        <w:pStyle w:val="Default"/>
        <w:rPr>
          <w:color w:val="auto"/>
        </w:rPr>
      </w:pPr>
      <w:r w:rsidRPr="00A313BE">
        <w:rPr>
          <w:b/>
          <w:bCs/>
          <w:color w:val="auto"/>
        </w:rPr>
        <w:t xml:space="preserve">16. Място за подаване на офертите: </w:t>
      </w:r>
    </w:p>
    <w:p w:rsidR="004138FD" w:rsidRPr="00A313BE" w:rsidRDefault="004138FD" w:rsidP="004138FD">
      <w:pPr>
        <w:pStyle w:val="Default"/>
        <w:rPr>
          <w:color w:val="auto"/>
        </w:rPr>
      </w:pPr>
      <w:r w:rsidRPr="00A313BE">
        <w:rPr>
          <w:color w:val="auto"/>
        </w:rPr>
        <w:t xml:space="preserve">Офертите следва да се подават в деловодството на  </w:t>
      </w:r>
      <w:r w:rsidR="00BA6A44" w:rsidRPr="00A313BE">
        <w:rPr>
          <w:color w:val="auto"/>
        </w:rPr>
        <w:t xml:space="preserve">ДПБ „Св.ИВАН РИЛСКИ </w:t>
      </w:r>
      <w:r w:rsidRPr="00A313BE">
        <w:rPr>
          <w:color w:val="auto"/>
        </w:rPr>
        <w:t xml:space="preserve">- гр. </w:t>
      </w:r>
      <w:r w:rsidR="00BA6A44" w:rsidRPr="00A313BE">
        <w:rPr>
          <w:color w:val="auto"/>
        </w:rPr>
        <w:t xml:space="preserve">Нови Искър </w:t>
      </w:r>
      <w:r w:rsidRPr="00A313BE">
        <w:rPr>
          <w:color w:val="auto"/>
        </w:rPr>
        <w:t xml:space="preserve">, </w:t>
      </w:r>
      <w:r w:rsidR="00BA6A44" w:rsidRPr="00A313BE">
        <w:rPr>
          <w:color w:val="auto"/>
        </w:rPr>
        <w:t>ул.</w:t>
      </w:r>
      <w:r w:rsidRPr="00A313BE">
        <w:rPr>
          <w:color w:val="auto"/>
        </w:rPr>
        <w:t>. „</w:t>
      </w:r>
      <w:r w:rsidR="00BA6A44" w:rsidRPr="00A313BE">
        <w:rPr>
          <w:color w:val="auto"/>
        </w:rPr>
        <w:t xml:space="preserve">Христо Ботив </w:t>
      </w:r>
      <w:r w:rsidRPr="00A313BE">
        <w:rPr>
          <w:color w:val="auto"/>
        </w:rPr>
        <w:t>” №1</w:t>
      </w:r>
      <w:r w:rsidR="00BA6A44" w:rsidRPr="00A313BE">
        <w:rPr>
          <w:color w:val="auto"/>
        </w:rPr>
        <w:t>40</w:t>
      </w:r>
      <w:r w:rsidRPr="00A313BE">
        <w:rPr>
          <w:color w:val="auto"/>
        </w:rPr>
        <w:t xml:space="preserve">. Възложителят няма да приема за участие и ще връща незабавно оферта, която е постъпила в незапечатана или в нарушена цялост </w:t>
      </w:r>
      <w:r w:rsidRPr="00A313BE">
        <w:rPr>
          <w:color w:val="auto"/>
        </w:rPr>
        <w:lastRenderedPageBreak/>
        <w:t xml:space="preserve">опаковка или е постъпила след изтичане на крайния срок за получаване. Това обстоятелство се отбелязва в регистъра на офертите по поръчката. </w:t>
      </w:r>
    </w:p>
    <w:p w:rsidR="004138FD" w:rsidRPr="00A313BE" w:rsidRDefault="004138FD" w:rsidP="004138FD">
      <w:pPr>
        <w:pStyle w:val="Default"/>
        <w:rPr>
          <w:color w:val="auto"/>
        </w:rPr>
      </w:pPr>
      <w:r w:rsidRPr="00A313BE">
        <w:rPr>
          <w:b/>
          <w:bCs/>
          <w:color w:val="auto"/>
        </w:rPr>
        <w:t xml:space="preserve">17. Срок на валидност на офертите: </w:t>
      </w:r>
    </w:p>
    <w:p w:rsidR="004138FD" w:rsidRPr="00A313BE" w:rsidRDefault="004138FD" w:rsidP="004138FD">
      <w:pPr>
        <w:pStyle w:val="Default"/>
        <w:rPr>
          <w:color w:val="auto"/>
        </w:rPr>
      </w:pPr>
      <w:r w:rsidRPr="00A313BE">
        <w:rPr>
          <w:color w:val="auto"/>
        </w:rPr>
        <w:t xml:space="preserve">Срокът на валидност на офертите е съгласно Обявата за обществена поръчка. </w:t>
      </w:r>
    </w:p>
    <w:p w:rsidR="004138FD" w:rsidRPr="00A313BE" w:rsidRDefault="004138FD" w:rsidP="007639DD">
      <w:pPr>
        <w:spacing w:after="0"/>
        <w:jc w:val="both"/>
        <w:rPr>
          <w:rFonts w:ascii="Times New Roman" w:hAnsi="Times New Roman" w:cs="Times New Roman"/>
          <w:sz w:val="24"/>
          <w:szCs w:val="24"/>
        </w:rPr>
      </w:pPr>
      <w:r w:rsidRPr="00A313BE">
        <w:rPr>
          <w:rFonts w:ascii="Times New Roman" w:hAnsi="Times New Roman" w:cs="Times New Roman"/>
          <w:b/>
          <w:bCs/>
          <w:sz w:val="24"/>
          <w:szCs w:val="24"/>
        </w:rPr>
        <w:t xml:space="preserve">18. Сключване на договор </w:t>
      </w:r>
      <w:r w:rsidR="00E76837" w:rsidRPr="00A313BE">
        <w:rPr>
          <w:rFonts w:ascii="Times New Roman" w:hAnsi="Times New Roman" w:cs="Times New Roman"/>
          <w:sz w:val="24"/>
          <w:szCs w:val="24"/>
        </w:rPr>
        <w:tab/>
      </w:r>
      <w:r w:rsidRPr="00A313BE">
        <w:rPr>
          <w:rFonts w:ascii="Times New Roman" w:hAnsi="Times New Roman" w:cs="Times New Roman"/>
          <w:b/>
          <w:bCs/>
          <w:sz w:val="24"/>
          <w:szCs w:val="24"/>
        </w:rPr>
        <w:t xml:space="preserve"> </w:t>
      </w:r>
      <w:r w:rsidRPr="00A313BE">
        <w:rPr>
          <w:rFonts w:ascii="Times New Roman" w:hAnsi="Times New Roman" w:cs="Times New Roman"/>
          <w:sz w:val="24"/>
          <w:szCs w:val="24"/>
        </w:rPr>
        <w:t xml:space="preserve">Възложителят сключва договор за обществена поръчка по реда на Глава двадесет и шеста чрез събиране на оферти с обява с определения Изпълнител в 30-дневен срок от датата на определяне на Изпълнителя. </w:t>
      </w:r>
    </w:p>
    <w:p w:rsidR="004138FD" w:rsidRPr="00A313BE" w:rsidRDefault="004138FD" w:rsidP="00954A4D">
      <w:pPr>
        <w:pStyle w:val="Default"/>
        <w:rPr>
          <w:color w:val="auto"/>
        </w:rPr>
      </w:pPr>
      <w:r w:rsidRPr="00A313BE">
        <w:rPr>
          <w:b/>
          <w:bCs/>
          <w:color w:val="auto"/>
        </w:rPr>
        <w:t>18.</w:t>
      </w:r>
      <w:r w:rsidR="007639DD" w:rsidRPr="00A313BE">
        <w:rPr>
          <w:b/>
          <w:bCs/>
          <w:color w:val="auto"/>
        </w:rPr>
        <w:t>1</w:t>
      </w:r>
      <w:r w:rsidRPr="00A313BE">
        <w:rPr>
          <w:color w:val="auto"/>
        </w:rPr>
        <w:t xml:space="preserve">. При подписване на договора за обществена поръчка участникът, определен за изпълнител, е длъжен да представи документи, удостоверяващи липсата на основанията за отстраняване от процедурата, както и съответствието с поставените критерии за подбор, съгласно чл. 112, ал. 1, т.2 от ЗОП, както и декларация по чл. 59, ал. 1, т. 3 от Закона за мерките срещу изпирането на пари относно действителните собственици на юридическото лице или друго правно образувание, избрано за изпълнител. Документите се представят и за подизпълнителите и третите лица, ако има такива. </w:t>
      </w:r>
      <w:r w:rsidRPr="00A313BE">
        <w:rPr>
          <w:i/>
          <w:iCs/>
          <w:color w:val="auto"/>
        </w:rPr>
        <w:t xml:space="preserve">* 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rsidR="004138FD" w:rsidRPr="00A313BE" w:rsidRDefault="004138FD" w:rsidP="004138FD">
      <w:pPr>
        <w:pStyle w:val="Default"/>
        <w:rPr>
          <w:color w:val="auto"/>
        </w:rPr>
      </w:pPr>
      <w:r w:rsidRPr="00A313BE">
        <w:rPr>
          <w:b/>
          <w:bCs/>
          <w:color w:val="auto"/>
        </w:rPr>
        <w:t>18.</w:t>
      </w:r>
      <w:r w:rsidR="007639DD" w:rsidRPr="00A313BE">
        <w:rPr>
          <w:b/>
          <w:bCs/>
          <w:color w:val="auto"/>
        </w:rPr>
        <w:t>2</w:t>
      </w:r>
      <w:r w:rsidRPr="00A313BE">
        <w:rPr>
          <w:b/>
          <w:bCs/>
          <w:color w:val="auto"/>
        </w:rPr>
        <w:t xml:space="preserve">. </w:t>
      </w:r>
      <w:r w:rsidRPr="00A313BE">
        <w:rPr>
          <w:color w:val="auto"/>
        </w:rPr>
        <w:t xml:space="preserve">За сключване на договора за обществената поръчка избраният изпълнител предоставя гаранция за изпълнение в </w:t>
      </w:r>
      <w:r w:rsidRPr="00A313BE">
        <w:rPr>
          <w:b/>
          <w:i/>
          <w:color w:val="auto"/>
        </w:rPr>
        <w:t xml:space="preserve">размер на </w:t>
      </w:r>
      <w:r w:rsidR="007639DD" w:rsidRPr="00A313BE">
        <w:rPr>
          <w:b/>
          <w:i/>
          <w:color w:val="auto"/>
        </w:rPr>
        <w:t>2</w:t>
      </w:r>
      <w:r w:rsidRPr="00A313BE">
        <w:rPr>
          <w:b/>
          <w:i/>
          <w:color w:val="auto"/>
        </w:rPr>
        <w:t xml:space="preserve"> % (</w:t>
      </w:r>
      <w:r w:rsidR="007639DD" w:rsidRPr="00A313BE">
        <w:rPr>
          <w:b/>
          <w:i/>
          <w:color w:val="auto"/>
        </w:rPr>
        <w:t>две</w:t>
      </w:r>
      <w:r w:rsidRPr="00A313BE">
        <w:rPr>
          <w:b/>
          <w:i/>
          <w:color w:val="auto"/>
        </w:rPr>
        <w:t xml:space="preserve"> на сто) от стойността на договора без ДДС.</w:t>
      </w:r>
      <w:r w:rsidRPr="00A313BE">
        <w:rPr>
          <w:color w:val="auto"/>
        </w:rPr>
        <w:t xml:space="preserve"> Гаранцията за обезпечаване на изпълнението следва да бъде със срок на валидност 30 (тридесет) дни след изтичане на срока по договора, в случай че се представя под формата на банкова гаранция или на застраховка. </w:t>
      </w:r>
    </w:p>
    <w:p w:rsidR="008711B7" w:rsidRPr="00A313BE" w:rsidRDefault="004138FD" w:rsidP="004138FD">
      <w:pPr>
        <w:pStyle w:val="Default"/>
        <w:rPr>
          <w:color w:val="auto"/>
        </w:rPr>
      </w:pPr>
      <w:r w:rsidRPr="00A313BE">
        <w:rPr>
          <w:color w:val="auto"/>
        </w:rPr>
        <w:t>Гаранцията за изпълнение се предоставя в една от следните форми:</w:t>
      </w:r>
    </w:p>
    <w:p w:rsidR="008711B7" w:rsidRPr="00A313BE" w:rsidRDefault="008711B7" w:rsidP="008711B7">
      <w:pPr>
        <w:shd w:val="clear" w:color="auto" w:fill="FFFFFF"/>
        <w:ind w:firstLine="425"/>
        <w:jc w:val="both"/>
        <w:rPr>
          <w:rFonts w:ascii="Times New Roman" w:hAnsi="Times New Roman" w:cs="Times New Roman"/>
          <w:bCs/>
          <w:sz w:val="24"/>
          <w:szCs w:val="24"/>
        </w:rPr>
      </w:pPr>
      <w:r w:rsidRPr="00A313BE">
        <w:rPr>
          <w:rFonts w:ascii="Times New Roman" w:hAnsi="Times New Roman" w:cs="Times New Roman"/>
          <w:bCs/>
          <w:sz w:val="24"/>
          <w:szCs w:val="24"/>
        </w:rPr>
        <w:t xml:space="preserve">При подписване на договора за обществена поръчка, определеният </w:t>
      </w:r>
      <w:r w:rsidRPr="00A313BE">
        <w:rPr>
          <w:rFonts w:ascii="Times New Roman" w:hAnsi="Times New Roman" w:cs="Times New Roman"/>
          <w:sz w:val="24"/>
          <w:szCs w:val="24"/>
        </w:rPr>
        <w:t xml:space="preserve">ИЗПЪЛНИТЕЛ </w:t>
      </w:r>
      <w:r w:rsidRPr="00A313BE">
        <w:rPr>
          <w:rFonts w:ascii="Times New Roman" w:hAnsi="Times New Roman" w:cs="Times New Roman"/>
          <w:bCs/>
          <w:sz w:val="24"/>
          <w:szCs w:val="24"/>
        </w:rPr>
        <w:t xml:space="preserve">ще представя документ за внесена гаранция за изпълнение на задълженията си по него </w:t>
      </w:r>
      <w:r w:rsidRPr="00A313BE">
        <w:rPr>
          <w:rFonts w:ascii="Times New Roman" w:hAnsi="Times New Roman" w:cs="Times New Roman"/>
          <w:sz w:val="24"/>
          <w:szCs w:val="24"/>
        </w:rPr>
        <w:t xml:space="preserve">договора в размер на </w:t>
      </w:r>
      <w:r w:rsidR="007639DD" w:rsidRPr="00A313BE">
        <w:rPr>
          <w:rFonts w:ascii="Times New Roman" w:hAnsi="Times New Roman" w:cs="Times New Roman"/>
          <w:sz w:val="24"/>
          <w:szCs w:val="24"/>
        </w:rPr>
        <w:t>2</w:t>
      </w:r>
      <w:r w:rsidRPr="00A313BE">
        <w:rPr>
          <w:rFonts w:ascii="Times New Roman" w:hAnsi="Times New Roman" w:cs="Times New Roman"/>
          <w:sz w:val="24"/>
          <w:szCs w:val="24"/>
        </w:rPr>
        <w:t xml:space="preserve"> (</w:t>
      </w:r>
      <w:r w:rsidR="007639DD" w:rsidRPr="00A313BE">
        <w:rPr>
          <w:rFonts w:ascii="Times New Roman" w:hAnsi="Times New Roman" w:cs="Times New Roman"/>
          <w:sz w:val="24"/>
          <w:szCs w:val="24"/>
        </w:rPr>
        <w:t>два</w:t>
      </w:r>
      <w:r w:rsidRPr="00A313BE">
        <w:rPr>
          <w:rFonts w:ascii="Times New Roman" w:hAnsi="Times New Roman" w:cs="Times New Roman"/>
          <w:sz w:val="24"/>
          <w:szCs w:val="24"/>
        </w:rPr>
        <w:t>) % от общата стойност на договора без ДДС</w:t>
      </w:r>
      <w:r w:rsidRPr="00A313BE">
        <w:rPr>
          <w:rFonts w:ascii="Times New Roman" w:hAnsi="Times New Roman" w:cs="Times New Roman"/>
          <w:bCs/>
          <w:sz w:val="24"/>
          <w:szCs w:val="24"/>
        </w:rPr>
        <w:t xml:space="preserve">.  </w:t>
      </w:r>
    </w:p>
    <w:p w:rsidR="008711B7" w:rsidRPr="00A313BE" w:rsidRDefault="008711B7" w:rsidP="008711B7">
      <w:pPr>
        <w:widowControl w:val="0"/>
        <w:autoSpaceDE w:val="0"/>
        <w:autoSpaceDN w:val="0"/>
        <w:adjustRightInd w:val="0"/>
        <w:jc w:val="both"/>
        <w:rPr>
          <w:rFonts w:ascii="Times New Roman" w:hAnsi="Times New Roman" w:cs="Times New Roman"/>
          <w:sz w:val="24"/>
          <w:szCs w:val="24"/>
        </w:rPr>
      </w:pPr>
      <w:r w:rsidRPr="00A313BE">
        <w:rPr>
          <w:rFonts w:ascii="Times New Roman" w:hAnsi="Times New Roman" w:cs="Times New Roman"/>
          <w:sz w:val="24"/>
          <w:szCs w:val="24"/>
        </w:rPr>
        <w:t xml:space="preserve"> Гаранцията за изпълнение на договора трябва да бъде представена като банкова гаранция :</w:t>
      </w:r>
    </w:p>
    <w:p w:rsidR="008711B7" w:rsidRPr="00A313BE" w:rsidRDefault="008711B7" w:rsidP="008711B7">
      <w:pPr>
        <w:rPr>
          <w:rFonts w:ascii="Times New Roman" w:eastAsia="Times New Roman" w:hAnsi="Times New Roman" w:cs="Times New Roman"/>
          <w:sz w:val="24"/>
          <w:szCs w:val="24"/>
        </w:rPr>
      </w:pPr>
      <w:r w:rsidRPr="00A313BE">
        <w:rPr>
          <w:rFonts w:ascii="Times New Roman" w:eastAsia="Times New Roman" w:hAnsi="Times New Roman" w:cs="Times New Roman"/>
          <w:sz w:val="24"/>
          <w:szCs w:val="24"/>
        </w:rPr>
        <w:t>Съгласно чл. 111, ал. 5 от ЗОП гаранциите се предоставят в една от следните форми:</w:t>
      </w:r>
    </w:p>
    <w:p w:rsidR="008711B7" w:rsidRPr="00A313BE" w:rsidRDefault="008711B7" w:rsidP="008711B7">
      <w:pPr>
        <w:rPr>
          <w:rFonts w:ascii="Times New Roman" w:eastAsia="Times New Roman" w:hAnsi="Times New Roman" w:cs="Times New Roman"/>
          <w:sz w:val="24"/>
          <w:szCs w:val="24"/>
        </w:rPr>
      </w:pPr>
      <w:r w:rsidRPr="00A313BE">
        <w:rPr>
          <w:rFonts w:ascii="Times New Roman" w:eastAsia="Times New Roman" w:hAnsi="Times New Roman" w:cs="Times New Roman"/>
          <w:sz w:val="24"/>
          <w:szCs w:val="24"/>
        </w:rPr>
        <w:t>а)банкова гаранция; б)застраховка, която обезпечава изпълнението чрез покритие на отговорносттанаизпълнителя.Гаранцията може да се предостави от името на изпълнителя за</w:t>
      </w:r>
    </w:p>
    <w:p w:rsidR="008711B7" w:rsidRPr="00A313BE" w:rsidRDefault="008711B7" w:rsidP="008711B7">
      <w:pPr>
        <w:rPr>
          <w:rFonts w:ascii="Times New Roman" w:eastAsia="Times New Roman" w:hAnsi="Times New Roman" w:cs="Times New Roman"/>
          <w:sz w:val="24"/>
          <w:szCs w:val="24"/>
        </w:rPr>
      </w:pPr>
      <w:r w:rsidRPr="00A313BE">
        <w:rPr>
          <w:rFonts w:ascii="Times New Roman" w:eastAsia="Times New Roman" w:hAnsi="Times New Roman" w:cs="Times New Roman"/>
          <w:sz w:val="24"/>
          <w:szCs w:val="24"/>
        </w:rPr>
        <w:t xml:space="preserve">сметка на трето лице -гарант. Оределеният изпълнител избира сам формата на гаранцията за изпълнение. </w:t>
      </w:r>
    </w:p>
    <w:p w:rsidR="008711B7" w:rsidRPr="00A313BE" w:rsidRDefault="008711B7" w:rsidP="008711B7">
      <w:pPr>
        <w:widowControl w:val="0"/>
        <w:autoSpaceDE w:val="0"/>
        <w:autoSpaceDN w:val="0"/>
        <w:adjustRightInd w:val="0"/>
        <w:jc w:val="both"/>
        <w:rPr>
          <w:rFonts w:ascii="Times New Roman" w:hAnsi="Times New Roman" w:cs="Times New Roman"/>
          <w:b/>
          <w:i/>
          <w:sz w:val="24"/>
          <w:szCs w:val="24"/>
        </w:rPr>
      </w:pPr>
      <w:r w:rsidRPr="00A313BE">
        <w:rPr>
          <w:rFonts w:ascii="Times New Roman" w:hAnsi="Times New Roman" w:cs="Times New Roman"/>
          <w:sz w:val="24"/>
          <w:szCs w:val="24"/>
        </w:rPr>
        <w:t>ЗАБ</w:t>
      </w:r>
      <w:r w:rsidRPr="00A313BE">
        <w:rPr>
          <w:rFonts w:ascii="Times New Roman" w:hAnsi="Times New Roman" w:cs="Times New Roman"/>
          <w:b/>
          <w:i/>
          <w:sz w:val="24"/>
          <w:szCs w:val="24"/>
        </w:rPr>
        <w:t>ЕЛЕЖКА :  ВЪЗЛОЖИТЕЛЯТ НЯМА РАЗКРИТА НАБИРАТЕЛНА СМЕТКА.</w:t>
      </w:r>
    </w:p>
    <w:p w:rsidR="008711B7" w:rsidRPr="00A313BE" w:rsidRDefault="008711B7" w:rsidP="008711B7">
      <w:pPr>
        <w:widowControl w:val="0"/>
        <w:autoSpaceDE w:val="0"/>
        <w:autoSpaceDN w:val="0"/>
        <w:adjustRightInd w:val="0"/>
        <w:jc w:val="both"/>
        <w:rPr>
          <w:rFonts w:ascii="Times New Roman" w:hAnsi="Times New Roman" w:cs="Times New Roman"/>
          <w:b/>
          <w:sz w:val="24"/>
          <w:szCs w:val="24"/>
        </w:rPr>
      </w:pPr>
      <w:r w:rsidRPr="00A313BE">
        <w:rPr>
          <w:rFonts w:ascii="Times New Roman" w:hAnsi="Times New Roman" w:cs="Times New Roman"/>
          <w:b/>
          <w:sz w:val="24"/>
          <w:szCs w:val="24"/>
        </w:rPr>
        <w:t xml:space="preserve">Разходите по откриване и поддържането на гаранциите са за сметка на изпълнителя. Изпълнителят трябва да предвиди и заплати своите такси по откриване и обслужване на гаранцията. </w:t>
      </w:r>
    </w:p>
    <w:p w:rsidR="008711B7" w:rsidRPr="00A313BE" w:rsidRDefault="008711B7" w:rsidP="008711B7">
      <w:pPr>
        <w:ind w:firstLine="709"/>
        <w:jc w:val="both"/>
        <w:rPr>
          <w:rFonts w:ascii="Times New Roman" w:hAnsi="Times New Roman" w:cs="Times New Roman"/>
          <w:sz w:val="24"/>
          <w:szCs w:val="24"/>
        </w:rPr>
      </w:pPr>
      <w:r w:rsidRPr="00A313BE">
        <w:rPr>
          <w:rFonts w:ascii="Times New Roman" w:hAnsi="Times New Roman" w:cs="Times New Roman"/>
          <w:sz w:val="24"/>
          <w:szCs w:val="24"/>
        </w:rPr>
        <w:t xml:space="preserve">-  оригинал на банкова гаранция за изпълнение на договора, издадена в полза на възложителя и със срок на валидност най-малко 30 /тридесет/ дни след подписване на окончателния протокол за приемане на извършените дейности. </w:t>
      </w:r>
    </w:p>
    <w:p w:rsidR="008711B7" w:rsidRPr="00A313BE" w:rsidRDefault="008711B7" w:rsidP="008711B7">
      <w:pPr>
        <w:ind w:firstLine="709"/>
        <w:jc w:val="both"/>
        <w:rPr>
          <w:rFonts w:ascii="Times New Roman" w:hAnsi="Times New Roman" w:cs="Times New Roman"/>
          <w:sz w:val="24"/>
          <w:szCs w:val="24"/>
        </w:rPr>
      </w:pPr>
      <w:r w:rsidRPr="00A313BE">
        <w:rPr>
          <w:rFonts w:ascii="Times New Roman" w:hAnsi="Times New Roman" w:cs="Times New Roman"/>
          <w:sz w:val="24"/>
          <w:szCs w:val="24"/>
        </w:rPr>
        <w:lastRenderedPageBreak/>
        <w:t>Гаранцията за изпълнението на договора се задържа и освобождава в съответствие с условията на проекто-договора.</w:t>
      </w:r>
    </w:p>
    <w:p w:rsidR="004138FD" w:rsidRPr="00A313BE" w:rsidRDefault="008711B7" w:rsidP="00E375C9">
      <w:pPr>
        <w:ind w:firstLine="709"/>
        <w:jc w:val="both"/>
        <w:rPr>
          <w:rFonts w:ascii="Times New Roman" w:hAnsi="Times New Roman" w:cs="Times New Roman"/>
          <w:sz w:val="24"/>
          <w:szCs w:val="24"/>
        </w:rPr>
      </w:pPr>
      <w:r w:rsidRPr="00A313BE">
        <w:rPr>
          <w:rFonts w:ascii="Times New Roman" w:hAnsi="Times New Roman" w:cs="Times New Roman"/>
          <w:b/>
          <w:i/>
          <w:sz w:val="24"/>
          <w:szCs w:val="24"/>
          <w:lang w:val="ru-RU"/>
        </w:rPr>
        <w:tab/>
        <w:t>Забележка:</w:t>
      </w:r>
      <w:r w:rsidRPr="00A313BE">
        <w:rPr>
          <w:rFonts w:ascii="Times New Roman" w:hAnsi="Times New Roman" w:cs="Times New Roman"/>
          <w:sz w:val="24"/>
          <w:szCs w:val="24"/>
          <w:lang w:val="ru-RU"/>
        </w:rPr>
        <w:t xml:space="preserve"> Банковите гаранции трябва да съдържат минимум следната информация:</w:t>
      </w:r>
      <w:r w:rsidR="00E375C9" w:rsidRPr="00A313BE">
        <w:rPr>
          <w:rFonts w:ascii="Times New Roman" w:hAnsi="Times New Roman" w:cs="Times New Roman"/>
          <w:sz w:val="24"/>
          <w:szCs w:val="24"/>
          <w:lang w:val="ru-RU"/>
        </w:rPr>
        <w:t xml:space="preserve"> </w:t>
      </w:r>
      <w:r w:rsidRPr="00A313BE">
        <w:rPr>
          <w:rFonts w:ascii="Times New Roman" w:hAnsi="Times New Roman" w:cs="Times New Roman"/>
          <w:sz w:val="24"/>
          <w:szCs w:val="24"/>
          <w:lang w:val="ru-RU"/>
        </w:rPr>
        <w:tab/>
        <w:t xml:space="preserve"> наименование на банката</w:t>
      </w:r>
      <w:r w:rsidR="00E375C9" w:rsidRPr="00A313BE">
        <w:rPr>
          <w:rFonts w:ascii="Times New Roman" w:hAnsi="Times New Roman" w:cs="Times New Roman"/>
          <w:sz w:val="24"/>
          <w:szCs w:val="24"/>
          <w:lang w:val="ru-RU"/>
        </w:rPr>
        <w:t>;</w:t>
      </w:r>
      <w:r w:rsidRPr="00A313BE">
        <w:rPr>
          <w:rFonts w:ascii="Times New Roman" w:hAnsi="Times New Roman" w:cs="Times New Roman"/>
          <w:sz w:val="24"/>
          <w:szCs w:val="24"/>
          <w:lang w:val="ru-RU"/>
        </w:rPr>
        <w:t xml:space="preserve"> наименование на участника/изпълнителя</w:t>
      </w:r>
      <w:r w:rsidR="00E375C9" w:rsidRPr="00A313BE">
        <w:rPr>
          <w:rFonts w:ascii="Times New Roman" w:hAnsi="Times New Roman" w:cs="Times New Roman"/>
          <w:sz w:val="24"/>
          <w:szCs w:val="24"/>
          <w:lang w:val="ru-RU"/>
        </w:rPr>
        <w:t>;</w:t>
      </w:r>
      <w:r w:rsidRPr="00A313BE">
        <w:rPr>
          <w:rFonts w:ascii="Times New Roman" w:hAnsi="Times New Roman" w:cs="Times New Roman"/>
          <w:sz w:val="24"/>
          <w:szCs w:val="24"/>
        </w:rPr>
        <w:t xml:space="preserve"> предмет на поръчката</w:t>
      </w:r>
      <w:r w:rsidR="00E375C9" w:rsidRPr="00A313BE">
        <w:rPr>
          <w:rFonts w:ascii="Times New Roman" w:hAnsi="Times New Roman" w:cs="Times New Roman"/>
          <w:sz w:val="24"/>
          <w:szCs w:val="24"/>
        </w:rPr>
        <w:t>;</w:t>
      </w:r>
      <w:r w:rsidRPr="00A313BE">
        <w:rPr>
          <w:rFonts w:ascii="Times New Roman" w:hAnsi="Times New Roman" w:cs="Times New Roman"/>
          <w:sz w:val="24"/>
          <w:szCs w:val="24"/>
        </w:rPr>
        <w:t xml:space="preserve"> размер на гаранцията в лева</w:t>
      </w:r>
      <w:r w:rsidR="00E375C9" w:rsidRPr="00A313BE">
        <w:rPr>
          <w:rFonts w:ascii="Times New Roman" w:hAnsi="Times New Roman" w:cs="Times New Roman"/>
          <w:sz w:val="24"/>
          <w:szCs w:val="24"/>
        </w:rPr>
        <w:t>;</w:t>
      </w:r>
      <w:r w:rsidRPr="00A313BE">
        <w:rPr>
          <w:rFonts w:ascii="Times New Roman" w:hAnsi="Times New Roman" w:cs="Times New Roman"/>
          <w:sz w:val="24"/>
          <w:szCs w:val="24"/>
        </w:rPr>
        <w:t xml:space="preserve"> срок на валидност на гаранцията /дата на влизане в сила и краен срок на валидност/, съгласно условията на възложителя</w:t>
      </w:r>
      <w:r w:rsidR="004138FD" w:rsidRPr="00A313BE">
        <w:rPr>
          <w:rFonts w:ascii="Times New Roman" w:hAnsi="Times New Roman" w:cs="Times New Roman"/>
          <w:sz w:val="24"/>
          <w:szCs w:val="24"/>
        </w:rPr>
        <w:t xml:space="preserve"> </w:t>
      </w:r>
    </w:p>
    <w:p w:rsidR="004138FD" w:rsidRPr="00A313BE" w:rsidRDefault="004138FD" w:rsidP="004138FD">
      <w:pPr>
        <w:pStyle w:val="Default"/>
        <w:rPr>
          <w:color w:val="auto"/>
        </w:rPr>
      </w:pPr>
      <w:r w:rsidRPr="00A313BE">
        <w:rPr>
          <w:color w:val="auto"/>
        </w:rPr>
        <w:t xml:space="preserve">•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4138FD" w:rsidRPr="00A313BE" w:rsidRDefault="004138FD" w:rsidP="004138FD">
      <w:pPr>
        <w:pStyle w:val="Default"/>
        <w:rPr>
          <w:color w:val="auto"/>
        </w:rPr>
      </w:pPr>
      <w:r w:rsidRPr="00A313BE">
        <w:rPr>
          <w:color w:val="auto"/>
        </w:rPr>
        <w:t xml:space="preserve">• Застраховка в полза на Възложителя, която обезпечава задълженията на изпълнителя за изпълнението на Договора, чрез покритие на отговорността на изпълнителя, със срок на валидност за целия срок на действие на Договора плюс 30 (тридесет) дни след прекратяването на Договора. </w:t>
      </w:r>
    </w:p>
    <w:p w:rsidR="004138FD" w:rsidRPr="00A313BE" w:rsidRDefault="004138FD" w:rsidP="004138FD">
      <w:pPr>
        <w:pStyle w:val="Default"/>
        <w:rPr>
          <w:color w:val="auto"/>
        </w:rPr>
      </w:pPr>
      <w:r w:rsidRPr="00A313BE">
        <w:rPr>
          <w:color w:val="auto"/>
        </w:rPr>
        <w:t xml:space="preserve">Условията и сроковете за задържане, усвояване и освобождаване на гаранцията са уредени в проекта на договор. </w:t>
      </w:r>
    </w:p>
    <w:p w:rsidR="004138FD" w:rsidRPr="00A313BE" w:rsidRDefault="004138FD" w:rsidP="004138FD">
      <w:pPr>
        <w:pStyle w:val="Default"/>
        <w:rPr>
          <w:color w:val="auto"/>
        </w:rPr>
      </w:pPr>
      <w:r w:rsidRPr="00A313BE">
        <w:rPr>
          <w:b/>
          <w:bCs/>
          <w:color w:val="auto"/>
        </w:rPr>
        <w:t xml:space="preserve">19. Други указания </w:t>
      </w:r>
    </w:p>
    <w:p w:rsidR="004138FD" w:rsidRPr="00A313BE" w:rsidRDefault="004138FD" w:rsidP="004138FD">
      <w:pPr>
        <w:pStyle w:val="Default"/>
        <w:rPr>
          <w:color w:val="auto"/>
        </w:rPr>
      </w:pPr>
      <w:r w:rsidRPr="00A313BE">
        <w:rPr>
          <w:b/>
          <w:bCs/>
          <w:color w:val="auto"/>
        </w:rPr>
        <w:t xml:space="preserve">19.1. Кореспонденция. </w:t>
      </w:r>
      <w:r w:rsidRPr="00A313BE">
        <w:rPr>
          <w:color w:val="auto"/>
        </w:rPr>
        <w:t xml:space="preserve">Обменът на информация свързана с настоящата поръчка между Възложителя и участниците се осъществява в писмен вид, на български език, включително чрез електронни средства за комуникация. </w:t>
      </w:r>
    </w:p>
    <w:p w:rsidR="004138FD" w:rsidRPr="00A313BE" w:rsidRDefault="004138FD" w:rsidP="004138FD">
      <w:pPr>
        <w:pStyle w:val="Default"/>
        <w:rPr>
          <w:color w:val="auto"/>
        </w:rPr>
      </w:pPr>
      <w:r w:rsidRPr="00A313BE">
        <w:rPr>
          <w:b/>
          <w:bCs/>
          <w:color w:val="auto"/>
        </w:rPr>
        <w:t xml:space="preserve">19.2. Разяснения. </w:t>
      </w:r>
      <w:r w:rsidRPr="00A313BE">
        <w:rPr>
          <w:color w:val="auto"/>
        </w:rPr>
        <w:t xml:space="preserve">До три дни преди изтичане срока за подаване на оферти лицата могат да поискат писмено от Възложителя разяснения по условията на обществената поръчка на адреса, посочен в обявата. </w:t>
      </w:r>
    </w:p>
    <w:p w:rsidR="004138FD" w:rsidRPr="00A313BE" w:rsidRDefault="004138FD" w:rsidP="004138FD">
      <w:pPr>
        <w:pStyle w:val="Default"/>
        <w:rPr>
          <w:color w:val="auto"/>
        </w:rPr>
      </w:pPr>
      <w:r w:rsidRPr="00A313BE">
        <w:rPr>
          <w:b/>
          <w:bCs/>
          <w:color w:val="auto"/>
        </w:rPr>
        <w:t xml:space="preserve">19.3. </w:t>
      </w:r>
      <w:r w:rsidRPr="00A313BE">
        <w:rPr>
          <w:color w:val="auto"/>
        </w:rPr>
        <w:t xml:space="preserve">Възложителят предоставя разясненията най-късно на следващия работен ден от получаване на искането. Разясненията се публикуват в профила на купувача без да се посочва лицето, направило запитването. </w:t>
      </w:r>
    </w:p>
    <w:p w:rsidR="004138FD" w:rsidRPr="00A313BE" w:rsidRDefault="004138FD" w:rsidP="004138FD">
      <w:pPr>
        <w:pStyle w:val="Default"/>
        <w:rPr>
          <w:color w:val="auto"/>
        </w:rPr>
      </w:pPr>
      <w:r w:rsidRPr="00A313BE">
        <w:rPr>
          <w:b/>
          <w:bCs/>
          <w:color w:val="auto"/>
        </w:rPr>
        <w:t xml:space="preserve">19.4. </w:t>
      </w:r>
      <w:r w:rsidRPr="00A313BE">
        <w:rPr>
          <w:color w:val="auto"/>
        </w:rPr>
        <w:t xml:space="preserve">По въпроси, свързани с провеждането на поръчката и подготовката на офертите на участниците, които не са разгледани в Документацията, се прилагат разпоредбите на Закона за обществени поръчки и подзаконовите нормативни актове по прилагането му. </w:t>
      </w:r>
    </w:p>
    <w:p w:rsidR="004138FD" w:rsidRPr="00A313BE" w:rsidRDefault="004138FD" w:rsidP="00954A4D">
      <w:pPr>
        <w:pStyle w:val="Default"/>
        <w:rPr>
          <w:color w:val="auto"/>
        </w:rPr>
      </w:pPr>
      <w:r w:rsidRPr="00A313BE">
        <w:rPr>
          <w:b/>
          <w:bCs/>
          <w:color w:val="auto"/>
        </w:rPr>
        <w:t xml:space="preserve">19.5. </w:t>
      </w:r>
      <w:r w:rsidRPr="00A313BE">
        <w:rPr>
          <w:color w:val="auto"/>
        </w:rPr>
        <w:t xml:space="preserve">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r w:rsidRPr="00A313BE">
        <w:rPr>
          <w:b/>
          <w:bCs/>
          <w:color w:val="auto"/>
        </w:rPr>
        <w:t>Относно задълженията, свързани с данъци и осигуровки</w:t>
      </w:r>
      <w:r w:rsidRPr="00A313BE">
        <w:rPr>
          <w:color w:val="auto"/>
        </w:rPr>
        <w:t xml:space="preserve">: </w:t>
      </w:r>
    </w:p>
    <w:p w:rsidR="004138FD" w:rsidRPr="00A313BE" w:rsidRDefault="004138FD" w:rsidP="004138FD">
      <w:pPr>
        <w:pStyle w:val="Default"/>
        <w:rPr>
          <w:color w:val="auto"/>
        </w:rPr>
      </w:pPr>
      <w:r w:rsidRPr="00A313BE">
        <w:rPr>
          <w:color w:val="auto"/>
        </w:rPr>
        <w:t xml:space="preserve">Национална агенция по приходите: </w:t>
      </w:r>
    </w:p>
    <w:p w:rsidR="004138FD" w:rsidRPr="00A313BE" w:rsidRDefault="004138FD" w:rsidP="004138FD">
      <w:pPr>
        <w:pStyle w:val="Default"/>
        <w:rPr>
          <w:color w:val="auto"/>
        </w:rPr>
      </w:pPr>
      <w:r w:rsidRPr="00A313BE">
        <w:rPr>
          <w:color w:val="auto"/>
        </w:rPr>
        <w:t xml:space="preserve">Информационен телефон на НАП - 0700 18 700; интернет адрес: www.nap.bg </w:t>
      </w:r>
    </w:p>
    <w:p w:rsidR="004138FD" w:rsidRPr="00A313BE" w:rsidRDefault="004138FD" w:rsidP="004138FD">
      <w:pPr>
        <w:pStyle w:val="Default"/>
        <w:rPr>
          <w:color w:val="auto"/>
        </w:rPr>
      </w:pPr>
      <w:r w:rsidRPr="00A313BE">
        <w:rPr>
          <w:b/>
          <w:bCs/>
          <w:color w:val="auto"/>
        </w:rPr>
        <w:t xml:space="preserve">Относно задълженията, свързани с опазване на околната среда: </w:t>
      </w:r>
    </w:p>
    <w:p w:rsidR="004138FD" w:rsidRPr="00A313BE" w:rsidRDefault="004138FD" w:rsidP="004138FD">
      <w:pPr>
        <w:pStyle w:val="Default"/>
        <w:rPr>
          <w:color w:val="auto"/>
        </w:rPr>
      </w:pPr>
      <w:r w:rsidRPr="00A313BE">
        <w:rPr>
          <w:color w:val="auto"/>
        </w:rPr>
        <w:t xml:space="preserve">Министерство на околната среда и водите: </w:t>
      </w:r>
    </w:p>
    <w:p w:rsidR="004138FD" w:rsidRPr="00A313BE" w:rsidRDefault="004138FD" w:rsidP="004138FD">
      <w:pPr>
        <w:pStyle w:val="Default"/>
        <w:rPr>
          <w:color w:val="auto"/>
        </w:rPr>
      </w:pPr>
      <w:r w:rsidRPr="00A313BE">
        <w:rPr>
          <w:color w:val="auto"/>
        </w:rPr>
        <w:t xml:space="preserve">1000 София, ул. "У. Гладстон" № 67, Телефон: 02/ 940 6000 </w:t>
      </w:r>
    </w:p>
    <w:p w:rsidR="004138FD" w:rsidRPr="00A313BE" w:rsidRDefault="004138FD" w:rsidP="004138FD">
      <w:pPr>
        <w:pStyle w:val="Default"/>
        <w:rPr>
          <w:color w:val="auto"/>
        </w:rPr>
      </w:pPr>
      <w:r w:rsidRPr="00A313BE">
        <w:rPr>
          <w:color w:val="auto"/>
        </w:rPr>
        <w:t xml:space="preserve">Интернет адрес: http://www3.moew.government.bg/ </w:t>
      </w:r>
    </w:p>
    <w:p w:rsidR="004138FD" w:rsidRPr="00A313BE" w:rsidRDefault="004138FD" w:rsidP="004138FD">
      <w:pPr>
        <w:pStyle w:val="Default"/>
        <w:rPr>
          <w:color w:val="auto"/>
        </w:rPr>
      </w:pPr>
      <w:r w:rsidRPr="00A313BE">
        <w:rPr>
          <w:b/>
          <w:bCs/>
          <w:color w:val="auto"/>
        </w:rPr>
        <w:t>Относно задълженията, свързани със закрила на заетостта и условията на тру</w:t>
      </w:r>
      <w:r w:rsidRPr="00A313BE">
        <w:rPr>
          <w:color w:val="auto"/>
        </w:rPr>
        <w:t xml:space="preserve">д: Министерство на труда и социалната политика: </w:t>
      </w:r>
    </w:p>
    <w:p w:rsidR="004138FD" w:rsidRPr="00A313BE" w:rsidRDefault="004138FD" w:rsidP="004138FD">
      <w:pPr>
        <w:pStyle w:val="Default"/>
        <w:rPr>
          <w:color w:val="auto"/>
        </w:rPr>
      </w:pPr>
      <w:r w:rsidRPr="00A313BE">
        <w:rPr>
          <w:color w:val="auto"/>
        </w:rPr>
        <w:t xml:space="preserve">София 1051, ул. Триадица № 2, Телефон: 02/ 8119 443; 0800 88 001 </w:t>
      </w:r>
    </w:p>
    <w:p w:rsidR="004138FD" w:rsidRPr="00A313BE" w:rsidRDefault="004138FD" w:rsidP="004138FD">
      <w:pPr>
        <w:pStyle w:val="Default"/>
        <w:rPr>
          <w:color w:val="auto"/>
        </w:rPr>
      </w:pPr>
      <w:r w:rsidRPr="00A313BE">
        <w:rPr>
          <w:color w:val="auto"/>
        </w:rPr>
        <w:t xml:space="preserve">Интернет адрес: http://www.mlsp.government.bg </w:t>
      </w:r>
    </w:p>
    <w:p w:rsidR="004138FD" w:rsidRPr="00A313BE" w:rsidRDefault="004138FD" w:rsidP="004138FD">
      <w:pPr>
        <w:pStyle w:val="Default"/>
        <w:rPr>
          <w:color w:val="auto"/>
        </w:rPr>
      </w:pPr>
      <w:r w:rsidRPr="00A313BE">
        <w:rPr>
          <w:color w:val="auto"/>
        </w:rPr>
        <w:t xml:space="preserve">Изпълнителна агенция „Главна инспекция по труда”: </w:t>
      </w:r>
    </w:p>
    <w:p w:rsidR="004138FD" w:rsidRPr="00A313BE" w:rsidRDefault="004138FD" w:rsidP="004138FD">
      <w:pPr>
        <w:pStyle w:val="Default"/>
        <w:rPr>
          <w:color w:val="auto"/>
        </w:rPr>
      </w:pPr>
      <w:r w:rsidRPr="00A313BE">
        <w:rPr>
          <w:color w:val="auto"/>
        </w:rPr>
        <w:lastRenderedPageBreak/>
        <w:t xml:space="preserve">София 1000, бул. „Дондуков” № 3, </w:t>
      </w:r>
    </w:p>
    <w:p w:rsidR="004138FD" w:rsidRPr="00A313BE" w:rsidRDefault="004138FD" w:rsidP="004138FD">
      <w:pPr>
        <w:pStyle w:val="Default"/>
        <w:rPr>
          <w:color w:val="auto"/>
        </w:rPr>
      </w:pPr>
      <w:r w:rsidRPr="00A313BE">
        <w:rPr>
          <w:color w:val="auto"/>
        </w:rPr>
        <w:t>Телефон: 02/ 8101 759</w:t>
      </w:r>
      <w:r w:rsidRPr="00A313BE">
        <w:rPr>
          <w:b/>
          <w:bCs/>
          <w:color w:val="auto"/>
        </w:rPr>
        <w:t xml:space="preserve">; </w:t>
      </w:r>
      <w:r w:rsidRPr="00A313BE">
        <w:rPr>
          <w:color w:val="auto"/>
        </w:rPr>
        <w:t>0700 17 670; e-mail</w:t>
      </w:r>
      <w:r w:rsidRPr="00A313BE">
        <w:rPr>
          <w:b/>
          <w:bCs/>
          <w:color w:val="auto"/>
        </w:rPr>
        <w:t xml:space="preserve">: </w:t>
      </w:r>
      <w:hyperlink r:id="rId9" w:history="1">
        <w:r w:rsidR="00E2340C" w:rsidRPr="00A313BE">
          <w:rPr>
            <w:rStyle w:val="Hyperlink"/>
            <w:color w:val="auto"/>
          </w:rPr>
          <w:t>secr-idirector@gli.government.bg</w:t>
        </w:r>
      </w:hyperlink>
      <w:r w:rsidRPr="00A313BE">
        <w:rPr>
          <w:color w:val="auto"/>
        </w:rPr>
        <w:t xml:space="preserve"> </w:t>
      </w:r>
    </w:p>
    <w:p w:rsidR="00E2340C" w:rsidRPr="00A313BE" w:rsidRDefault="00E2340C" w:rsidP="00E2340C">
      <w:pPr>
        <w:pStyle w:val="Default"/>
        <w:rPr>
          <w:color w:val="auto"/>
        </w:rPr>
      </w:pPr>
      <w:r w:rsidRPr="00A313BE">
        <w:rPr>
          <w:b/>
          <w:bCs/>
          <w:color w:val="auto"/>
        </w:rPr>
        <w:t xml:space="preserve">15. КРИТЕРИЙ ЗА ВЪЗЛАГАНЕ. МЕТОДИКА ЗА КОМПЛЕКСНА ОЦЕНКА И НАЧИН ЗА ОПРЕДЕЛЯНЕ НА ОЦЕНКАТА ПО ВСЕКИ ПОКАЗАТЕЛ. </w:t>
      </w:r>
    </w:p>
    <w:p w:rsidR="00E2340C" w:rsidRPr="00A313BE" w:rsidRDefault="00E2340C" w:rsidP="00E2340C">
      <w:pPr>
        <w:pStyle w:val="ListParagraph"/>
        <w:keepNext/>
        <w:tabs>
          <w:tab w:val="left" w:pos="0"/>
        </w:tabs>
        <w:spacing w:after="120"/>
        <w:ind w:left="0"/>
        <w:jc w:val="both"/>
        <w:outlineLvl w:val="1"/>
        <w:rPr>
          <w:rFonts w:ascii="Times New Roman" w:hAnsi="Times New Roman" w:cs="Times New Roman"/>
          <w:szCs w:val="24"/>
        </w:rPr>
      </w:pPr>
      <w:r w:rsidRPr="00A313BE">
        <w:rPr>
          <w:rFonts w:ascii="Times New Roman" w:hAnsi="Times New Roman" w:cs="Times New Roman"/>
          <w:szCs w:val="24"/>
        </w:rPr>
        <w:t xml:space="preserve">Обществената поръчка се възлага въз основа на икономически най-изгодната оферта при критерий </w:t>
      </w:r>
      <w:r w:rsidRPr="00A313BE">
        <w:rPr>
          <w:rFonts w:ascii="Times New Roman" w:hAnsi="Times New Roman" w:cs="Times New Roman"/>
          <w:b/>
          <w:szCs w:val="24"/>
        </w:rPr>
        <w:t>„</w:t>
      </w:r>
      <w:r w:rsidRPr="00A313BE">
        <w:rPr>
          <w:rFonts w:ascii="Times New Roman" w:hAnsi="Times New Roman" w:cs="Times New Roman"/>
          <w:b/>
          <w:szCs w:val="24"/>
          <w:lang w:val="ru-RU"/>
        </w:rPr>
        <w:t xml:space="preserve">ОПТИМАЛНО СЪОТНОШЕНИЕ </w:t>
      </w:r>
      <w:r w:rsidR="00875640" w:rsidRPr="00A313BE">
        <w:rPr>
          <w:rFonts w:ascii="Times New Roman" w:hAnsi="Times New Roman" w:cs="Times New Roman"/>
          <w:b/>
          <w:szCs w:val="24"/>
          <w:lang w:val="ru-RU"/>
        </w:rPr>
        <w:t xml:space="preserve">ЦЕНА/СРОК НА ИЗПЪЛНЕНИЕ НА ОП </w:t>
      </w:r>
      <w:r w:rsidR="00514F13" w:rsidRPr="00A313BE">
        <w:rPr>
          <w:rFonts w:ascii="Times New Roman" w:hAnsi="Times New Roman" w:cs="Times New Roman"/>
          <w:b/>
          <w:szCs w:val="24"/>
          <w:lang w:val="ru-RU"/>
        </w:rPr>
        <w:t>И СРОК НА ГАРАНЦИОННА ПОДРЪЖКА</w:t>
      </w:r>
      <w:r w:rsidRPr="00A313BE">
        <w:rPr>
          <w:rFonts w:ascii="Times New Roman" w:hAnsi="Times New Roman" w:cs="Times New Roman"/>
          <w:b/>
          <w:szCs w:val="24"/>
        </w:rPr>
        <w:t>“.</w:t>
      </w:r>
    </w:p>
    <w:p w:rsidR="003212E1" w:rsidRPr="00A313BE" w:rsidRDefault="003212E1" w:rsidP="003212E1">
      <w:pPr>
        <w:spacing w:after="0"/>
        <w:jc w:val="center"/>
        <w:rPr>
          <w:rFonts w:ascii="Times New Roman" w:hAnsi="Times New Roman" w:cs="Times New Roman"/>
          <w:b/>
          <w:sz w:val="24"/>
          <w:szCs w:val="24"/>
        </w:rPr>
      </w:pPr>
      <w:r w:rsidRPr="00A313BE">
        <w:rPr>
          <w:rFonts w:ascii="Times New Roman" w:hAnsi="Times New Roman" w:cs="Times New Roman"/>
          <w:b/>
          <w:sz w:val="24"/>
          <w:szCs w:val="24"/>
        </w:rPr>
        <w:t>МЕТОДИКА ЗА ОЦЕНКА НА ОБЩЕСТВЕНА ПОРЪЧКА С ПРЕДМЕТ:</w:t>
      </w:r>
    </w:p>
    <w:p w:rsidR="003212E1" w:rsidRPr="00A313BE" w:rsidRDefault="003212E1" w:rsidP="003212E1">
      <w:pPr>
        <w:spacing w:after="0"/>
        <w:jc w:val="center"/>
        <w:rPr>
          <w:rFonts w:ascii="Times New Roman" w:hAnsi="Times New Roman" w:cs="Times New Roman"/>
          <w:b/>
          <w:sz w:val="24"/>
          <w:szCs w:val="24"/>
        </w:rPr>
      </w:pPr>
      <w:r w:rsidRPr="00A313BE">
        <w:rPr>
          <w:rFonts w:ascii="Times New Roman" w:hAnsi="Times New Roman" w:cs="Times New Roman"/>
          <w:b/>
          <w:sz w:val="24"/>
          <w:szCs w:val="24"/>
        </w:rPr>
        <w:t xml:space="preserve">Реконструкция на котелно отделение, доставка, монтаж, въвеждане в експлоатация и гаранционна поддръжка на нов водогреен котел при   ДПБ „Св. </w:t>
      </w:r>
      <w:r w:rsidRPr="00A313BE">
        <w:rPr>
          <w:rFonts w:ascii="Times New Roman" w:hAnsi="Times New Roman" w:cs="Times New Roman"/>
          <w:b/>
          <w:sz w:val="24"/>
          <w:szCs w:val="24"/>
        </w:rPr>
        <w:tab/>
        <w:t xml:space="preserve">Ив. </w:t>
      </w:r>
      <w:r w:rsidRPr="00A313BE">
        <w:rPr>
          <w:rFonts w:ascii="Times New Roman" w:hAnsi="Times New Roman" w:cs="Times New Roman"/>
          <w:b/>
          <w:sz w:val="24"/>
          <w:szCs w:val="24"/>
        </w:rPr>
        <w:tab/>
        <w:t>Рилски”</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ab/>
        <w:t>Доставка, монтаж, въвеждане в експлоатация и гаранционна поддръжка на отоплителен котел и горелка за отопление, предмет на поръчката да се възложи на основата на икономически най изгодна оферта. Икономически най-изгодна оферта да се определи въз основа на критерия Оптимално съотношение качество/цена въз основа на финансов и технически показател.</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ab/>
      </w:r>
      <w:r w:rsidRPr="00A313BE">
        <w:rPr>
          <w:rFonts w:ascii="Times New Roman" w:hAnsi="Times New Roman" w:cs="Times New Roman"/>
          <w:sz w:val="24"/>
          <w:szCs w:val="24"/>
        </w:rPr>
        <w:tab/>
        <w:t>Показатели за оценка на офертите на участниците:</w:t>
      </w:r>
    </w:p>
    <w:p w:rsidR="003212E1" w:rsidRPr="00A313BE" w:rsidRDefault="003212E1" w:rsidP="003212E1">
      <w:pPr>
        <w:spacing w:after="0"/>
        <w:jc w:val="both"/>
        <w:rPr>
          <w:rFonts w:ascii="Times New Roman" w:hAnsi="Times New Roman" w:cs="Times New Roman"/>
          <w:b/>
          <w:sz w:val="24"/>
          <w:szCs w:val="24"/>
        </w:rPr>
      </w:pPr>
      <w:r w:rsidRPr="00A313BE">
        <w:rPr>
          <w:rFonts w:ascii="Times New Roman" w:hAnsi="Times New Roman" w:cs="Times New Roman"/>
          <w:b/>
          <w:sz w:val="24"/>
          <w:szCs w:val="24"/>
        </w:rPr>
        <w:t>І. Оценка по „финансов показател” /ФП/ - до 60 точки</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ФП= Предложена цена/ПЦ/, където:</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ПЦ- брой точки получени от участника по показател ПЦ: цена на доставка, монтаж, въвеждане в експлоатация и гаранционна поддръжка на отоплителен котел и горелка – тежест 60%.</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Оценява се цената за доставката, монтажа, въвеждане в експлоатация и гаранционна поддръжка на отоплителен котел и горелка за отопление, предложена от участника. Цената се посочва в български лева.Участникът посочил формулировка в цената в друга валута, ще бъде отстранен от участие.</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Оценката по този показател се определя по следната формула:</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ПЦ = / Ц</w:t>
      </w:r>
      <w:r w:rsidRPr="00A313BE">
        <w:rPr>
          <w:rFonts w:ascii="Times New Roman" w:hAnsi="Times New Roman" w:cs="Times New Roman"/>
          <w:sz w:val="24"/>
          <w:szCs w:val="24"/>
          <w:lang w:val="en-US"/>
        </w:rPr>
        <w:t>min/</w:t>
      </w:r>
      <w:r w:rsidRPr="00A313BE">
        <w:rPr>
          <w:rFonts w:ascii="Times New Roman" w:hAnsi="Times New Roman" w:cs="Times New Roman"/>
          <w:sz w:val="24"/>
          <w:szCs w:val="24"/>
        </w:rPr>
        <w:t>Ц</w:t>
      </w:r>
      <w:r w:rsidRPr="00A313BE">
        <w:rPr>
          <w:rFonts w:ascii="Times New Roman" w:hAnsi="Times New Roman" w:cs="Times New Roman"/>
          <w:sz w:val="24"/>
          <w:szCs w:val="24"/>
          <w:lang w:val="en-US"/>
        </w:rPr>
        <w:t>i</w:t>
      </w:r>
      <w:r w:rsidRPr="00A313BE">
        <w:rPr>
          <w:rFonts w:ascii="Times New Roman" w:hAnsi="Times New Roman" w:cs="Times New Roman"/>
          <w:sz w:val="24"/>
          <w:szCs w:val="24"/>
        </w:rPr>
        <w:t xml:space="preserve"> </w:t>
      </w:r>
      <w:r w:rsidRPr="00A313BE">
        <w:rPr>
          <w:rFonts w:ascii="Times New Roman" w:hAnsi="Times New Roman" w:cs="Times New Roman"/>
          <w:sz w:val="24"/>
          <w:szCs w:val="24"/>
          <w:lang w:val="en-US"/>
        </w:rPr>
        <w:t xml:space="preserve">/ </w:t>
      </w:r>
      <w:r w:rsidRPr="00A313BE">
        <w:rPr>
          <w:rFonts w:ascii="Times New Roman" w:hAnsi="Times New Roman" w:cs="Times New Roman"/>
          <w:sz w:val="24"/>
          <w:szCs w:val="24"/>
        </w:rPr>
        <w:t>х60</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Където:</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-Ц</w:t>
      </w:r>
      <w:r w:rsidRPr="00A313BE">
        <w:rPr>
          <w:rFonts w:ascii="Times New Roman" w:hAnsi="Times New Roman" w:cs="Times New Roman"/>
          <w:sz w:val="24"/>
          <w:szCs w:val="24"/>
          <w:lang w:val="en-US"/>
        </w:rPr>
        <w:t>min</w:t>
      </w:r>
      <w:r w:rsidRPr="00A313BE">
        <w:rPr>
          <w:rFonts w:ascii="Times New Roman" w:hAnsi="Times New Roman" w:cs="Times New Roman"/>
          <w:sz w:val="24"/>
          <w:szCs w:val="24"/>
        </w:rPr>
        <w:t xml:space="preserve"> е най –ниската предложена в процедурата цена за доставката, мотажа, въвеждане в експлоатация и гаранционна поддръжка на отоплителен котел и горелка.</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-Ц</w:t>
      </w:r>
      <w:r w:rsidRPr="00A313BE">
        <w:rPr>
          <w:rFonts w:ascii="Times New Roman" w:hAnsi="Times New Roman" w:cs="Times New Roman"/>
          <w:sz w:val="24"/>
          <w:szCs w:val="24"/>
          <w:lang w:val="en-US"/>
        </w:rPr>
        <w:t>i</w:t>
      </w:r>
      <w:r w:rsidRPr="00A313BE">
        <w:rPr>
          <w:rFonts w:ascii="Times New Roman" w:hAnsi="Times New Roman" w:cs="Times New Roman"/>
          <w:sz w:val="24"/>
          <w:szCs w:val="24"/>
        </w:rPr>
        <w:t xml:space="preserve"> е предложената цена за доставка, монтажа, въвеждане в експлоатация и гаранционна поддръжка  на отоплителен котел и горелка от участника.</w:t>
      </w:r>
    </w:p>
    <w:p w:rsidR="003212E1" w:rsidRPr="00A313BE" w:rsidRDefault="003212E1" w:rsidP="003212E1">
      <w:pPr>
        <w:spacing w:after="0"/>
        <w:jc w:val="both"/>
        <w:rPr>
          <w:rFonts w:ascii="Times New Roman" w:hAnsi="Times New Roman" w:cs="Times New Roman"/>
          <w:sz w:val="24"/>
          <w:szCs w:val="24"/>
        </w:rPr>
      </w:pPr>
      <w:r w:rsidRPr="00A313BE">
        <w:rPr>
          <w:rFonts w:ascii="Times New Roman" w:hAnsi="Times New Roman" w:cs="Times New Roman"/>
          <w:sz w:val="24"/>
          <w:szCs w:val="24"/>
        </w:rPr>
        <w:t>Максимален брой точки : 60</w:t>
      </w:r>
    </w:p>
    <w:p w:rsidR="003212E1" w:rsidRPr="00A313BE" w:rsidRDefault="003212E1" w:rsidP="003212E1">
      <w:pPr>
        <w:spacing w:after="0"/>
        <w:jc w:val="both"/>
        <w:rPr>
          <w:rFonts w:ascii="Times New Roman" w:hAnsi="Times New Roman" w:cs="Times New Roman"/>
          <w:sz w:val="24"/>
          <w:szCs w:val="24"/>
        </w:rPr>
      </w:pPr>
    </w:p>
    <w:p w:rsidR="003212E1" w:rsidRPr="00A313BE" w:rsidRDefault="003212E1" w:rsidP="003212E1">
      <w:pPr>
        <w:spacing w:after="0"/>
        <w:jc w:val="both"/>
        <w:rPr>
          <w:rFonts w:ascii="Times New Roman" w:hAnsi="Times New Roman" w:cs="Times New Roman"/>
          <w:b/>
          <w:sz w:val="24"/>
          <w:szCs w:val="24"/>
        </w:rPr>
      </w:pPr>
      <w:r w:rsidRPr="00A313BE">
        <w:rPr>
          <w:rFonts w:ascii="Times New Roman" w:hAnsi="Times New Roman" w:cs="Times New Roman"/>
          <w:b/>
          <w:sz w:val="24"/>
          <w:szCs w:val="24"/>
        </w:rPr>
        <w:t>ІІ. Оценка по „Технически показател” /ТП/   - до 40 точки.</w:t>
      </w:r>
    </w:p>
    <w:p w:rsidR="003212E1" w:rsidRPr="00A313BE" w:rsidRDefault="003212E1" w:rsidP="003212E1">
      <w:pPr>
        <w:tabs>
          <w:tab w:val="left" w:pos="5191"/>
        </w:tabs>
        <w:jc w:val="both"/>
        <w:rPr>
          <w:rFonts w:ascii="Times New Roman" w:hAnsi="Times New Roman" w:cs="Times New Roman"/>
          <w:sz w:val="24"/>
          <w:szCs w:val="24"/>
        </w:rPr>
      </w:pPr>
      <w:r w:rsidRPr="00A313BE">
        <w:rPr>
          <w:rFonts w:ascii="Times New Roman" w:hAnsi="Times New Roman" w:cs="Times New Roman"/>
          <w:sz w:val="24"/>
          <w:szCs w:val="24"/>
        </w:rPr>
        <w:t>ТП = П1 + П2, където:</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Показател 1 /П1/ - брой точки получени от участника по показател 1: Срок за доставка, монтажа, въвеждане в експлоатация на отоплителен котел и горелка</w:t>
      </w:r>
      <w:r w:rsidRPr="00A313BE">
        <w:rPr>
          <w:rFonts w:ascii="Times New Roman" w:hAnsi="Times New Roman" w:cs="Times New Roman"/>
          <w:sz w:val="24"/>
          <w:szCs w:val="24"/>
        </w:rPr>
        <w:tab/>
        <w:t>.</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Показател 1 /П2/ - брой точки получени от участника по показател 2: Срок за гаранционна поддръжка на доставен и въведен в експлоатация отоплителен котел и горелка.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b/>
          <w:sz w:val="24"/>
          <w:szCs w:val="24"/>
        </w:rPr>
        <w:t>Показател 1</w:t>
      </w:r>
      <w:r w:rsidRPr="00A313BE">
        <w:rPr>
          <w:rFonts w:ascii="Times New Roman" w:hAnsi="Times New Roman" w:cs="Times New Roman"/>
          <w:sz w:val="24"/>
          <w:szCs w:val="24"/>
        </w:rPr>
        <w:t xml:space="preserve"> : Срок за доставка, монтажа и въвеждане в експлоатация на отоплителен котел и горелка  - тежест 20%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lastRenderedPageBreak/>
        <w:t>Оценява се срокът за доставката, монтажа, въвеждане в експлоатация на отоплителен котел и горелка, предложена от участника. Срок за доставка, монтажа, въвеждане в експлоатация на отоплителен котел и горелка се посочва в календарни дни. Участникът посочил формулировка на срока в друга мярка/работни дни, седмици и др./ ще бъде отстранен от участие.</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Оценката по този показател се определя по следната формула: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СД = / Д</w:t>
      </w:r>
      <w:r w:rsidRPr="00A313BE">
        <w:rPr>
          <w:rFonts w:ascii="Times New Roman" w:hAnsi="Times New Roman" w:cs="Times New Roman"/>
          <w:sz w:val="24"/>
          <w:szCs w:val="24"/>
          <w:lang w:val="en-US"/>
        </w:rPr>
        <w:t>min</w:t>
      </w:r>
      <w:r w:rsidRPr="00A313BE">
        <w:rPr>
          <w:rFonts w:ascii="Times New Roman" w:hAnsi="Times New Roman" w:cs="Times New Roman"/>
          <w:sz w:val="24"/>
          <w:szCs w:val="24"/>
        </w:rPr>
        <w:t xml:space="preserve"> / Д</w:t>
      </w:r>
      <w:r w:rsidRPr="00A313BE">
        <w:rPr>
          <w:rFonts w:ascii="Times New Roman" w:hAnsi="Times New Roman" w:cs="Times New Roman"/>
          <w:sz w:val="24"/>
          <w:szCs w:val="24"/>
          <w:lang w:val="en-US"/>
        </w:rPr>
        <w:t>i</w:t>
      </w:r>
      <w:r w:rsidRPr="00A313BE">
        <w:rPr>
          <w:rFonts w:ascii="Times New Roman" w:hAnsi="Times New Roman" w:cs="Times New Roman"/>
          <w:sz w:val="24"/>
          <w:szCs w:val="24"/>
        </w:rPr>
        <w:t xml:space="preserve"> / х 20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Където :</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-Д</w:t>
      </w:r>
      <w:r w:rsidRPr="00A313BE">
        <w:rPr>
          <w:rFonts w:ascii="Times New Roman" w:hAnsi="Times New Roman" w:cs="Times New Roman"/>
          <w:sz w:val="24"/>
          <w:szCs w:val="24"/>
          <w:lang w:val="en-US"/>
        </w:rPr>
        <w:t xml:space="preserve">min- e </w:t>
      </w:r>
      <w:r w:rsidRPr="00A313BE">
        <w:rPr>
          <w:rFonts w:ascii="Times New Roman" w:hAnsi="Times New Roman" w:cs="Times New Roman"/>
          <w:sz w:val="24"/>
          <w:szCs w:val="24"/>
        </w:rPr>
        <w:t xml:space="preserve"> най- късия предложен срок за доставка, монтажа, въвеждане в експлоатация на отоплителен котел и горелка.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-Д</w:t>
      </w:r>
      <w:r w:rsidRPr="00A313BE">
        <w:rPr>
          <w:rFonts w:ascii="Times New Roman" w:hAnsi="Times New Roman" w:cs="Times New Roman"/>
          <w:sz w:val="24"/>
          <w:szCs w:val="24"/>
          <w:lang w:val="en-US"/>
        </w:rPr>
        <w:t>i</w:t>
      </w:r>
      <w:r w:rsidRPr="00A313BE">
        <w:rPr>
          <w:rFonts w:ascii="Times New Roman" w:hAnsi="Times New Roman" w:cs="Times New Roman"/>
          <w:sz w:val="24"/>
          <w:szCs w:val="24"/>
        </w:rPr>
        <w:t xml:space="preserve"> – е предложения срок за доставка, монтажа, въвеждане в експлоатация на отоплителен котел и горелка от участника.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Максимален брой точки : 20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b/>
          <w:sz w:val="24"/>
          <w:szCs w:val="24"/>
        </w:rPr>
        <w:t xml:space="preserve">Показател 2: </w:t>
      </w:r>
      <w:r w:rsidRPr="00A313BE">
        <w:rPr>
          <w:rFonts w:ascii="Times New Roman" w:hAnsi="Times New Roman" w:cs="Times New Roman"/>
          <w:sz w:val="24"/>
          <w:szCs w:val="24"/>
        </w:rPr>
        <w:t>Срок за гаранционна поддръжка на доставен и въведен в експлоатация отоплителен котел и газова горелка – тежест 20 %</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Оценява се срокът за гаранционна поддръжка на доставен и въведен в експлоатация отоплителен котел и горелка, предложен от участника. Срок за гаранционна поддръжка се посочва в месеци. Участник посочил формулировка за срока за гаранционна поддръжка в друга мярка/тримесечия, година или др./ ще бъде отстранен от участие. Оценката по този показател се определя по следната формула:</w:t>
      </w:r>
    </w:p>
    <w:p w:rsidR="003212E1" w:rsidRPr="00A313BE" w:rsidRDefault="003212E1" w:rsidP="003212E1">
      <w:pPr>
        <w:tabs>
          <w:tab w:val="left" w:pos="5191"/>
        </w:tabs>
        <w:spacing w:after="0"/>
        <w:jc w:val="both"/>
        <w:rPr>
          <w:rFonts w:ascii="Times New Roman" w:hAnsi="Times New Roman" w:cs="Times New Roman"/>
          <w:sz w:val="24"/>
          <w:szCs w:val="24"/>
          <w:lang w:val="en-US"/>
        </w:rPr>
      </w:pPr>
      <w:r w:rsidRPr="00A313BE">
        <w:rPr>
          <w:rFonts w:ascii="Times New Roman" w:hAnsi="Times New Roman" w:cs="Times New Roman"/>
          <w:sz w:val="24"/>
          <w:szCs w:val="24"/>
        </w:rPr>
        <w:t>СГ = /</w:t>
      </w:r>
      <w:r w:rsidRPr="00A313BE">
        <w:rPr>
          <w:rFonts w:ascii="Times New Roman" w:hAnsi="Times New Roman" w:cs="Times New Roman"/>
          <w:sz w:val="24"/>
          <w:szCs w:val="24"/>
          <w:lang w:val="en-US"/>
        </w:rPr>
        <w:t xml:space="preserve"> </w:t>
      </w:r>
      <w:r w:rsidRPr="00A313BE">
        <w:rPr>
          <w:rFonts w:ascii="Times New Roman" w:hAnsi="Times New Roman" w:cs="Times New Roman"/>
          <w:sz w:val="24"/>
          <w:szCs w:val="24"/>
        </w:rPr>
        <w:t>Г</w:t>
      </w:r>
      <w:r w:rsidRPr="00A313BE">
        <w:rPr>
          <w:rFonts w:ascii="Times New Roman" w:hAnsi="Times New Roman" w:cs="Times New Roman"/>
          <w:sz w:val="24"/>
          <w:szCs w:val="24"/>
          <w:lang w:val="en-US"/>
        </w:rPr>
        <w:t>i</w:t>
      </w:r>
      <w:r w:rsidRPr="00A313BE">
        <w:rPr>
          <w:rFonts w:ascii="Times New Roman" w:hAnsi="Times New Roman" w:cs="Times New Roman"/>
          <w:sz w:val="24"/>
          <w:szCs w:val="24"/>
        </w:rPr>
        <w:t xml:space="preserve"> /</w:t>
      </w:r>
      <w:r w:rsidRPr="00A313BE">
        <w:rPr>
          <w:rFonts w:ascii="Times New Roman" w:hAnsi="Times New Roman" w:cs="Times New Roman"/>
          <w:sz w:val="24"/>
          <w:szCs w:val="24"/>
          <w:lang w:val="en-US"/>
        </w:rPr>
        <w:t xml:space="preserve"> </w:t>
      </w:r>
      <w:r w:rsidRPr="00A313BE">
        <w:rPr>
          <w:rFonts w:ascii="Times New Roman" w:hAnsi="Times New Roman" w:cs="Times New Roman"/>
          <w:sz w:val="24"/>
          <w:szCs w:val="24"/>
        </w:rPr>
        <w:t>Г</w:t>
      </w:r>
      <w:r w:rsidRPr="00A313BE">
        <w:rPr>
          <w:rFonts w:ascii="Times New Roman" w:hAnsi="Times New Roman" w:cs="Times New Roman"/>
          <w:sz w:val="24"/>
          <w:szCs w:val="24"/>
          <w:lang w:val="en-US"/>
        </w:rPr>
        <w:t>max</w:t>
      </w:r>
      <w:r w:rsidRPr="00A313BE">
        <w:rPr>
          <w:rFonts w:ascii="Times New Roman" w:hAnsi="Times New Roman" w:cs="Times New Roman"/>
          <w:sz w:val="24"/>
          <w:szCs w:val="24"/>
        </w:rPr>
        <w:t xml:space="preserve"> / х 20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Където :</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-Г</w:t>
      </w:r>
      <w:r w:rsidRPr="00A313BE">
        <w:rPr>
          <w:rFonts w:ascii="Times New Roman" w:hAnsi="Times New Roman" w:cs="Times New Roman"/>
          <w:sz w:val="24"/>
          <w:szCs w:val="24"/>
          <w:lang w:val="en-US"/>
        </w:rPr>
        <w:t xml:space="preserve">i </w:t>
      </w:r>
      <w:r w:rsidRPr="00A313BE">
        <w:rPr>
          <w:rFonts w:ascii="Times New Roman" w:hAnsi="Times New Roman" w:cs="Times New Roman"/>
          <w:sz w:val="24"/>
          <w:szCs w:val="24"/>
        </w:rPr>
        <w:t>е предложения срок за гаранционна поддръжка на доставен и въведен в експлоатация отоплителен котел и горелка от участника.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-Г</w:t>
      </w:r>
      <w:r w:rsidRPr="00A313BE">
        <w:rPr>
          <w:rFonts w:ascii="Times New Roman" w:hAnsi="Times New Roman" w:cs="Times New Roman"/>
          <w:sz w:val="24"/>
          <w:szCs w:val="24"/>
          <w:lang w:val="en-US"/>
        </w:rPr>
        <w:t>max</w:t>
      </w:r>
      <w:r w:rsidRPr="00A313BE">
        <w:rPr>
          <w:rFonts w:ascii="Times New Roman" w:hAnsi="Times New Roman" w:cs="Times New Roman"/>
          <w:sz w:val="24"/>
          <w:szCs w:val="24"/>
        </w:rPr>
        <w:t xml:space="preserve"> е най-дългия предложен в процедурата срок за гаранционна поддръжка на доставени въведен в експлоатация котел и горелка.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Максимален брой точки: 20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Оценка по технически показател – максимален брой точки : 40</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b/>
          <w:sz w:val="24"/>
          <w:szCs w:val="24"/>
        </w:rPr>
        <w:t>ІІІ. Крайно класиране</w:t>
      </w:r>
      <w:r w:rsidRPr="00A313BE">
        <w:rPr>
          <w:rFonts w:ascii="Times New Roman" w:hAnsi="Times New Roman" w:cs="Times New Roman"/>
          <w:sz w:val="24"/>
          <w:szCs w:val="24"/>
        </w:rPr>
        <w:t xml:space="preserve"> и определянето на Изпълнител за доставка, монтажа, въвеждане в експлоатация и гаранционна поддръжка на отоплителен котел и горелка да отопление ще се извърши по комплексна оценка  /КО / на предложенията постъпили от участниците по следната формула:</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КО = ФП + ТП</w:t>
      </w:r>
    </w:p>
    <w:p w:rsidR="003212E1" w:rsidRPr="00A313BE" w:rsidRDefault="003212E1" w:rsidP="003212E1">
      <w:pPr>
        <w:tabs>
          <w:tab w:val="left" w:pos="5191"/>
        </w:tabs>
        <w:spacing w:after="0"/>
        <w:jc w:val="both"/>
        <w:rPr>
          <w:rFonts w:ascii="Times New Roman" w:hAnsi="Times New Roman" w:cs="Times New Roman"/>
          <w:sz w:val="24"/>
          <w:szCs w:val="24"/>
        </w:rPr>
      </w:pPr>
      <w:r w:rsidRPr="00A313BE">
        <w:rPr>
          <w:rFonts w:ascii="Times New Roman" w:hAnsi="Times New Roman" w:cs="Times New Roman"/>
          <w:sz w:val="24"/>
          <w:szCs w:val="24"/>
        </w:rPr>
        <w:t>Максимален брой точки на комплексната оценка : 100.</w:t>
      </w:r>
    </w:p>
    <w:p w:rsidR="003212E1" w:rsidRPr="00A313BE" w:rsidRDefault="003212E1" w:rsidP="003212E1">
      <w:pPr>
        <w:tabs>
          <w:tab w:val="left" w:pos="5191"/>
        </w:tabs>
        <w:spacing w:after="0"/>
        <w:jc w:val="both"/>
        <w:rPr>
          <w:rFonts w:ascii="Times New Roman" w:hAnsi="Times New Roman" w:cs="Times New Roman"/>
          <w:sz w:val="24"/>
          <w:szCs w:val="24"/>
        </w:rPr>
      </w:pPr>
    </w:p>
    <w:p w:rsidR="003212E1" w:rsidRPr="00A313BE" w:rsidRDefault="003212E1" w:rsidP="003212E1">
      <w:pPr>
        <w:tabs>
          <w:tab w:val="left" w:pos="5191"/>
        </w:tabs>
        <w:jc w:val="both"/>
        <w:rPr>
          <w:rFonts w:ascii="Times New Roman" w:hAnsi="Times New Roman" w:cs="Times New Roman"/>
          <w:sz w:val="24"/>
          <w:szCs w:val="24"/>
        </w:rPr>
      </w:pPr>
    </w:p>
    <w:p w:rsidR="003212E1" w:rsidRPr="00A313BE" w:rsidRDefault="003212E1" w:rsidP="003212E1">
      <w:pPr>
        <w:rPr>
          <w:rFonts w:ascii="Times New Roman" w:hAnsi="Times New Roman" w:cs="Times New Roman"/>
          <w:sz w:val="24"/>
          <w:szCs w:val="24"/>
          <w:lang w:eastAsia="bg-BG"/>
        </w:rPr>
      </w:pPr>
    </w:p>
    <w:sectPr w:rsidR="003212E1" w:rsidRPr="00A313BE" w:rsidSect="00F14D25">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E28" w:rsidRDefault="00CA4E28" w:rsidP="0079435C">
      <w:pPr>
        <w:spacing w:after="0" w:line="240" w:lineRule="auto"/>
      </w:pPr>
      <w:r>
        <w:separator/>
      </w:r>
    </w:p>
  </w:endnote>
  <w:endnote w:type="continuationSeparator" w:id="1">
    <w:p w:rsidR="00CA4E28" w:rsidRDefault="00CA4E28" w:rsidP="00794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7133"/>
      <w:docPartObj>
        <w:docPartGallery w:val="Page Numbers (Bottom of Page)"/>
        <w:docPartUnique/>
      </w:docPartObj>
    </w:sdtPr>
    <w:sdtContent>
      <w:p w:rsidR="00B9536F" w:rsidRDefault="00975EA5">
        <w:pPr>
          <w:pStyle w:val="Footer"/>
          <w:jc w:val="right"/>
        </w:pPr>
        <w:fldSimple w:instr=" PAGE   \* MERGEFORMAT ">
          <w:r w:rsidR="00517A6B">
            <w:rPr>
              <w:noProof/>
            </w:rPr>
            <w:t>3</w:t>
          </w:r>
        </w:fldSimple>
      </w:p>
    </w:sdtContent>
  </w:sdt>
  <w:p w:rsidR="00B9536F" w:rsidRDefault="00B95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E28" w:rsidRDefault="00CA4E28" w:rsidP="0079435C">
      <w:pPr>
        <w:spacing w:after="0" w:line="240" w:lineRule="auto"/>
      </w:pPr>
      <w:r>
        <w:separator/>
      </w:r>
    </w:p>
  </w:footnote>
  <w:footnote w:type="continuationSeparator" w:id="1">
    <w:p w:rsidR="00CA4E28" w:rsidRDefault="00CA4E28" w:rsidP="00794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730C8B"/>
    <w:multiLevelType w:val="hybridMultilevel"/>
    <w:tmpl w:val="B52F8C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2D698A"/>
    <w:multiLevelType w:val="hybridMultilevel"/>
    <w:tmpl w:val="6D4474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2CC38AE"/>
    <w:multiLevelType w:val="hybridMultilevel"/>
    <w:tmpl w:val="A1475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BF1F43"/>
    <w:multiLevelType w:val="hybridMultilevel"/>
    <w:tmpl w:val="C7EC9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B7B1AEB"/>
    <w:multiLevelType w:val="hybridMultilevel"/>
    <w:tmpl w:val="F6F62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22AE74"/>
    <w:multiLevelType w:val="hybridMultilevel"/>
    <w:tmpl w:val="5BA98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674BFCD"/>
    <w:multiLevelType w:val="hybridMultilevel"/>
    <w:tmpl w:val="1631A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1B1B6EB"/>
    <w:multiLevelType w:val="hybridMultilevel"/>
    <w:tmpl w:val="9B9CD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BAC70C"/>
    <w:multiLevelType w:val="hybridMultilevel"/>
    <w:tmpl w:val="8FE3C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FC2447B"/>
    <w:multiLevelType w:val="hybridMultilevel"/>
    <w:tmpl w:val="027A05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start w:val="1"/>
      <w:numFmt w:val="bullet"/>
      <w:lvlText w:val="o"/>
      <w:lvlJc w:val="left"/>
      <w:pPr>
        <w:tabs>
          <w:tab w:val="num" w:pos="1691"/>
        </w:tabs>
        <w:ind w:left="1691" w:hanging="360"/>
      </w:pPr>
      <w:rPr>
        <w:rFonts w:ascii="Courier New" w:hAnsi="Courier New" w:cs="Courier New" w:hint="default"/>
      </w:rPr>
    </w:lvl>
    <w:lvl w:ilvl="2" w:tplc="04020005">
      <w:start w:val="1"/>
      <w:numFmt w:val="bullet"/>
      <w:lvlText w:val=""/>
      <w:lvlJc w:val="left"/>
      <w:pPr>
        <w:tabs>
          <w:tab w:val="num" w:pos="2411"/>
        </w:tabs>
        <w:ind w:left="2411" w:hanging="360"/>
      </w:pPr>
      <w:rPr>
        <w:rFonts w:ascii="Wingdings" w:hAnsi="Wingdings" w:hint="default"/>
      </w:rPr>
    </w:lvl>
    <w:lvl w:ilvl="3" w:tplc="04020001">
      <w:start w:val="1"/>
      <w:numFmt w:val="bullet"/>
      <w:lvlText w:val=""/>
      <w:lvlJc w:val="left"/>
      <w:pPr>
        <w:tabs>
          <w:tab w:val="num" w:pos="3131"/>
        </w:tabs>
        <w:ind w:left="3131" w:hanging="360"/>
      </w:pPr>
      <w:rPr>
        <w:rFonts w:ascii="Symbol" w:hAnsi="Symbol" w:hint="default"/>
      </w:rPr>
    </w:lvl>
    <w:lvl w:ilvl="4" w:tplc="04020003">
      <w:start w:val="1"/>
      <w:numFmt w:val="bullet"/>
      <w:lvlText w:val="o"/>
      <w:lvlJc w:val="left"/>
      <w:pPr>
        <w:tabs>
          <w:tab w:val="num" w:pos="3851"/>
        </w:tabs>
        <w:ind w:left="3851" w:hanging="360"/>
      </w:pPr>
      <w:rPr>
        <w:rFonts w:ascii="Courier New" w:hAnsi="Courier New" w:cs="Courier New" w:hint="default"/>
      </w:rPr>
    </w:lvl>
    <w:lvl w:ilvl="5" w:tplc="04020005">
      <w:start w:val="1"/>
      <w:numFmt w:val="bullet"/>
      <w:lvlText w:val=""/>
      <w:lvlJc w:val="left"/>
      <w:pPr>
        <w:tabs>
          <w:tab w:val="num" w:pos="4571"/>
        </w:tabs>
        <w:ind w:left="4571" w:hanging="360"/>
      </w:pPr>
      <w:rPr>
        <w:rFonts w:ascii="Wingdings" w:hAnsi="Wingdings" w:hint="default"/>
      </w:rPr>
    </w:lvl>
    <w:lvl w:ilvl="6" w:tplc="04020001">
      <w:start w:val="1"/>
      <w:numFmt w:val="bullet"/>
      <w:lvlText w:val=""/>
      <w:lvlJc w:val="left"/>
      <w:pPr>
        <w:tabs>
          <w:tab w:val="num" w:pos="5291"/>
        </w:tabs>
        <w:ind w:left="5291" w:hanging="360"/>
      </w:pPr>
      <w:rPr>
        <w:rFonts w:ascii="Symbol" w:hAnsi="Symbol" w:hint="default"/>
      </w:rPr>
    </w:lvl>
    <w:lvl w:ilvl="7" w:tplc="04020003">
      <w:start w:val="1"/>
      <w:numFmt w:val="bullet"/>
      <w:lvlText w:val="o"/>
      <w:lvlJc w:val="left"/>
      <w:pPr>
        <w:tabs>
          <w:tab w:val="num" w:pos="6011"/>
        </w:tabs>
        <w:ind w:left="6011" w:hanging="360"/>
      </w:pPr>
      <w:rPr>
        <w:rFonts w:ascii="Courier New" w:hAnsi="Courier New" w:cs="Courier New" w:hint="default"/>
      </w:rPr>
    </w:lvl>
    <w:lvl w:ilvl="8" w:tplc="04020005">
      <w:start w:val="1"/>
      <w:numFmt w:val="bullet"/>
      <w:lvlText w:val=""/>
      <w:lvlJc w:val="left"/>
      <w:pPr>
        <w:tabs>
          <w:tab w:val="num" w:pos="6731"/>
        </w:tabs>
        <w:ind w:left="6731" w:hanging="360"/>
      </w:pPr>
      <w:rPr>
        <w:rFonts w:ascii="Wingdings" w:hAnsi="Wingdings" w:hint="default"/>
      </w:rPr>
    </w:lvl>
  </w:abstractNum>
  <w:abstractNum w:abstractNumId="11">
    <w:nsid w:val="445B075E"/>
    <w:multiLevelType w:val="hybridMultilevel"/>
    <w:tmpl w:val="086650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553E937"/>
    <w:multiLevelType w:val="hybridMultilevel"/>
    <w:tmpl w:val="E1B9F6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36B9A87"/>
    <w:multiLevelType w:val="hybridMultilevel"/>
    <w:tmpl w:val="B95814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4C42648"/>
    <w:multiLevelType w:val="hybridMultilevel"/>
    <w:tmpl w:val="8AB6E406"/>
    <w:lvl w:ilvl="0" w:tplc="63705864">
      <w:start w:val="2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Times New Roman"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Times New Roman" w:hint="default"/>
      </w:rPr>
    </w:lvl>
    <w:lvl w:ilvl="8" w:tplc="04090005">
      <w:start w:val="1"/>
      <w:numFmt w:val="bullet"/>
      <w:lvlText w:val=""/>
      <w:lvlJc w:val="left"/>
      <w:pPr>
        <w:ind w:left="6687" w:hanging="360"/>
      </w:pPr>
      <w:rPr>
        <w:rFonts w:ascii="Wingdings" w:hAnsi="Wingdings" w:hint="default"/>
      </w:rPr>
    </w:lvl>
  </w:abstractNum>
  <w:abstractNum w:abstractNumId="15">
    <w:nsid w:val="622454CB"/>
    <w:multiLevelType w:val="hybridMultilevel"/>
    <w:tmpl w:val="68CE23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6">
    <w:nsid w:val="6BBA7FE1"/>
    <w:multiLevelType w:val="hybridMultilevel"/>
    <w:tmpl w:val="F92E0F9E"/>
    <w:lvl w:ilvl="0" w:tplc="04090017">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nsid w:val="6DB5190E"/>
    <w:multiLevelType w:val="hybridMultilevel"/>
    <w:tmpl w:val="60202974"/>
    <w:lvl w:ilvl="0" w:tplc="E1B2158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75C14721"/>
    <w:multiLevelType w:val="hybridMultilevel"/>
    <w:tmpl w:val="2368A56C"/>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A364F19"/>
    <w:multiLevelType w:val="hybridMultilevel"/>
    <w:tmpl w:val="E2C890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nsid w:val="7C999A01"/>
    <w:multiLevelType w:val="hybridMultilevel"/>
    <w:tmpl w:val="5DA0A0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6"/>
  </w:num>
  <w:num w:numId="3">
    <w:abstractNumId w:val="11"/>
  </w:num>
  <w:num w:numId="4">
    <w:abstractNumId w:val="7"/>
  </w:num>
  <w:num w:numId="5">
    <w:abstractNumId w:val="9"/>
  </w:num>
  <w:num w:numId="6">
    <w:abstractNumId w:val="3"/>
  </w:num>
  <w:num w:numId="7">
    <w:abstractNumId w:val="20"/>
  </w:num>
  <w:num w:numId="8">
    <w:abstractNumId w:val="12"/>
  </w:num>
  <w:num w:numId="9">
    <w:abstractNumId w:val="13"/>
  </w:num>
  <w:num w:numId="10">
    <w:abstractNumId w:val="5"/>
  </w:num>
  <w:num w:numId="11">
    <w:abstractNumId w:val="0"/>
  </w:num>
  <w:num w:numId="12">
    <w:abstractNumId w:val="4"/>
  </w:num>
  <w:num w:numId="13">
    <w:abstractNumId w:val="1"/>
  </w:num>
  <w:num w:numId="14">
    <w:abstractNumId w:val="8"/>
  </w:num>
  <w:num w:numId="15">
    <w:abstractNumId w:val="14"/>
  </w:num>
  <w:num w:numId="16">
    <w:abstractNumId w:val="15"/>
  </w:num>
  <w:num w:numId="17">
    <w:abstractNumId w:val="18"/>
  </w:num>
  <w:num w:numId="18">
    <w:abstractNumId w:val="10"/>
  </w:num>
  <w:num w:numId="19">
    <w:abstractNumId w:val="19"/>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4138FD"/>
    <w:rsid w:val="000277AD"/>
    <w:rsid w:val="00035CBF"/>
    <w:rsid w:val="00077FAC"/>
    <w:rsid w:val="00086B6B"/>
    <w:rsid w:val="000B5E66"/>
    <w:rsid w:val="000C267B"/>
    <w:rsid w:val="000D5D7C"/>
    <w:rsid w:val="000F540A"/>
    <w:rsid w:val="0010627B"/>
    <w:rsid w:val="00110818"/>
    <w:rsid w:val="00111F5B"/>
    <w:rsid w:val="00113A8F"/>
    <w:rsid w:val="00116E68"/>
    <w:rsid w:val="00134312"/>
    <w:rsid w:val="001406B8"/>
    <w:rsid w:val="00143A26"/>
    <w:rsid w:val="001507F3"/>
    <w:rsid w:val="0015115D"/>
    <w:rsid w:val="00165F83"/>
    <w:rsid w:val="00172C0F"/>
    <w:rsid w:val="00180FCD"/>
    <w:rsid w:val="001B1C91"/>
    <w:rsid w:val="001B2C07"/>
    <w:rsid w:val="001B4E5A"/>
    <w:rsid w:val="001B63E4"/>
    <w:rsid w:val="001D4E1F"/>
    <w:rsid w:val="001D774A"/>
    <w:rsid w:val="001D78E7"/>
    <w:rsid w:val="001F4B28"/>
    <w:rsid w:val="002110D4"/>
    <w:rsid w:val="002150FE"/>
    <w:rsid w:val="0022461E"/>
    <w:rsid w:val="00232FDE"/>
    <w:rsid w:val="00254511"/>
    <w:rsid w:val="00277482"/>
    <w:rsid w:val="00290EE0"/>
    <w:rsid w:val="002C79A2"/>
    <w:rsid w:val="003212E1"/>
    <w:rsid w:val="00325653"/>
    <w:rsid w:val="00361854"/>
    <w:rsid w:val="00372BB2"/>
    <w:rsid w:val="00377DA3"/>
    <w:rsid w:val="003A4BB7"/>
    <w:rsid w:val="003B67E0"/>
    <w:rsid w:val="003D5FEC"/>
    <w:rsid w:val="003E57F2"/>
    <w:rsid w:val="003E732B"/>
    <w:rsid w:val="003E78B2"/>
    <w:rsid w:val="003F392D"/>
    <w:rsid w:val="004138FD"/>
    <w:rsid w:val="00417048"/>
    <w:rsid w:val="004271B0"/>
    <w:rsid w:val="004354A1"/>
    <w:rsid w:val="00440D03"/>
    <w:rsid w:val="004430FB"/>
    <w:rsid w:val="00443357"/>
    <w:rsid w:val="00483020"/>
    <w:rsid w:val="0049347D"/>
    <w:rsid w:val="004B1E17"/>
    <w:rsid w:val="004C2781"/>
    <w:rsid w:val="004D0C64"/>
    <w:rsid w:val="004D6640"/>
    <w:rsid w:val="004E217A"/>
    <w:rsid w:val="004F2307"/>
    <w:rsid w:val="004F79DF"/>
    <w:rsid w:val="00506467"/>
    <w:rsid w:val="00514F13"/>
    <w:rsid w:val="00517A6B"/>
    <w:rsid w:val="00525148"/>
    <w:rsid w:val="00546B0F"/>
    <w:rsid w:val="005579BC"/>
    <w:rsid w:val="005648A1"/>
    <w:rsid w:val="0057423A"/>
    <w:rsid w:val="00576E9C"/>
    <w:rsid w:val="005862EB"/>
    <w:rsid w:val="005A0AFC"/>
    <w:rsid w:val="005A5D6B"/>
    <w:rsid w:val="005A5DD7"/>
    <w:rsid w:val="005C2788"/>
    <w:rsid w:val="005C2D89"/>
    <w:rsid w:val="005C6BC4"/>
    <w:rsid w:val="00600153"/>
    <w:rsid w:val="0062035D"/>
    <w:rsid w:val="0064009C"/>
    <w:rsid w:val="00641B1B"/>
    <w:rsid w:val="006533E9"/>
    <w:rsid w:val="0066727D"/>
    <w:rsid w:val="006766D4"/>
    <w:rsid w:val="00680456"/>
    <w:rsid w:val="006806F4"/>
    <w:rsid w:val="006939F7"/>
    <w:rsid w:val="00696E30"/>
    <w:rsid w:val="006A0F14"/>
    <w:rsid w:val="006D535C"/>
    <w:rsid w:val="00702FDF"/>
    <w:rsid w:val="0071304A"/>
    <w:rsid w:val="00714DF2"/>
    <w:rsid w:val="00734646"/>
    <w:rsid w:val="00756BC2"/>
    <w:rsid w:val="007639DD"/>
    <w:rsid w:val="0079435C"/>
    <w:rsid w:val="007A72F0"/>
    <w:rsid w:val="007A74FD"/>
    <w:rsid w:val="007C5EEA"/>
    <w:rsid w:val="007D6C25"/>
    <w:rsid w:val="007E7023"/>
    <w:rsid w:val="00802A46"/>
    <w:rsid w:val="00806C0A"/>
    <w:rsid w:val="00813214"/>
    <w:rsid w:val="00827879"/>
    <w:rsid w:val="00867429"/>
    <w:rsid w:val="008711B7"/>
    <w:rsid w:val="00872AAB"/>
    <w:rsid w:val="00875640"/>
    <w:rsid w:val="008846A0"/>
    <w:rsid w:val="008872FC"/>
    <w:rsid w:val="008A0B96"/>
    <w:rsid w:val="008A7654"/>
    <w:rsid w:val="008A7D8D"/>
    <w:rsid w:val="008B6984"/>
    <w:rsid w:val="008D5E86"/>
    <w:rsid w:val="009023E5"/>
    <w:rsid w:val="00906134"/>
    <w:rsid w:val="00921E0D"/>
    <w:rsid w:val="00922CC7"/>
    <w:rsid w:val="00931C4B"/>
    <w:rsid w:val="009358E3"/>
    <w:rsid w:val="00946A59"/>
    <w:rsid w:val="009508FA"/>
    <w:rsid w:val="00954592"/>
    <w:rsid w:val="00954A4D"/>
    <w:rsid w:val="00955187"/>
    <w:rsid w:val="00957EC3"/>
    <w:rsid w:val="00975EA5"/>
    <w:rsid w:val="0098539B"/>
    <w:rsid w:val="00985A89"/>
    <w:rsid w:val="009958C1"/>
    <w:rsid w:val="009961AB"/>
    <w:rsid w:val="009A2145"/>
    <w:rsid w:val="009B1E65"/>
    <w:rsid w:val="009D477E"/>
    <w:rsid w:val="009D60D5"/>
    <w:rsid w:val="00A13CE7"/>
    <w:rsid w:val="00A21D55"/>
    <w:rsid w:val="00A303AD"/>
    <w:rsid w:val="00A313BE"/>
    <w:rsid w:val="00A33587"/>
    <w:rsid w:val="00A4692E"/>
    <w:rsid w:val="00A631E9"/>
    <w:rsid w:val="00A70F7A"/>
    <w:rsid w:val="00A8305A"/>
    <w:rsid w:val="00A931E4"/>
    <w:rsid w:val="00A97362"/>
    <w:rsid w:val="00AA0F96"/>
    <w:rsid w:val="00AB41DD"/>
    <w:rsid w:val="00AB5E19"/>
    <w:rsid w:val="00AB7DDB"/>
    <w:rsid w:val="00AC1268"/>
    <w:rsid w:val="00AC41C7"/>
    <w:rsid w:val="00AC4339"/>
    <w:rsid w:val="00AD268E"/>
    <w:rsid w:val="00AE7EBC"/>
    <w:rsid w:val="00AF3334"/>
    <w:rsid w:val="00B0371B"/>
    <w:rsid w:val="00B05FD0"/>
    <w:rsid w:val="00B1577B"/>
    <w:rsid w:val="00B20F1E"/>
    <w:rsid w:val="00B2538F"/>
    <w:rsid w:val="00B3300A"/>
    <w:rsid w:val="00B44B70"/>
    <w:rsid w:val="00B86110"/>
    <w:rsid w:val="00B9536F"/>
    <w:rsid w:val="00BA6A44"/>
    <w:rsid w:val="00BF2F43"/>
    <w:rsid w:val="00C262EF"/>
    <w:rsid w:val="00C2632C"/>
    <w:rsid w:val="00C34FF3"/>
    <w:rsid w:val="00C3500B"/>
    <w:rsid w:val="00C35536"/>
    <w:rsid w:val="00C35853"/>
    <w:rsid w:val="00C507CF"/>
    <w:rsid w:val="00C52E52"/>
    <w:rsid w:val="00C75938"/>
    <w:rsid w:val="00C8513E"/>
    <w:rsid w:val="00C92134"/>
    <w:rsid w:val="00C93C3A"/>
    <w:rsid w:val="00CA4E28"/>
    <w:rsid w:val="00CF5FF4"/>
    <w:rsid w:val="00CF6004"/>
    <w:rsid w:val="00CF60A4"/>
    <w:rsid w:val="00D323DC"/>
    <w:rsid w:val="00D417EB"/>
    <w:rsid w:val="00D5455B"/>
    <w:rsid w:val="00D62DF1"/>
    <w:rsid w:val="00D63C6A"/>
    <w:rsid w:val="00D73F1A"/>
    <w:rsid w:val="00D8329B"/>
    <w:rsid w:val="00DA0A77"/>
    <w:rsid w:val="00DC1223"/>
    <w:rsid w:val="00DC48A9"/>
    <w:rsid w:val="00DD2624"/>
    <w:rsid w:val="00DD423B"/>
    <w:rsid w:val="00DF4FD2"/>
    <w:rsid w:val="00E03713"/>
    <w:rsid w:val="00E06316"/>
    <w:rsid w:val="00E22766"/>
    <w:rsid w:val="00E2340C"/>
    <w:rsid w:val="00E267C2"/>
    <w:rsid w:val="00E375C9"/>
    <w:rsid w:val="00E47A5A"/>
    <w:rsid w:val="00E502C5"/>
    <w:rsid w:val="00E65D78"/>
    <w:rsid w:val="00E74F16"/>
    <w:rsid w:val="00E76837"/>
    <w:rsid w:val="00E827FB"/>
    <w:rsid w:val="00E958B3"/>
    <w:rsid w:val="00EE0DDC"/>
    <w:rsid w:val="00EE3CDF"/>
    <w:rsid w:val="00EE6F6B"/>
    <w:rsid w:val="00F00657"/>
    <w:rsid w:val="00F0797E"/>
    <w:rsid w:val="00F122FE"/>
    <w:rsid w:val="00F14D25"/>
    <w:rsid w:val="00F678D1"/>
    <w:rsid w:val="00F9188E"/>
    <w:rsid w:val="00FB33D0"/>
    <w:rsid w:val="00FD3797"/>
    <w:rsid w:val="00FD41C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34"/>
  </w:style>
  <w:style w:type="paragraph" w:styleId="Heading1">
    <w:name w:val="heading 1"/>
    <w:basedOn w:val="Normal"/>
    <w:next w:val="Normal"/>
    <w:link w:val="Heading1Char"/>
    <w:qFormat/>
    <w:rsid w:val="007A74FD"/>
    <w:pPr>
      <w:keepNext/>
      <w:spacing w:before="240" w:after="60"/>
      <w:outlineLvl w:val="0"/>
    </w:pPr>
    <w:rPr>
      <w:rFonts w:ascii="Cambria" w:eastAsia="Times New Roman" w:hAnsi="Cambria" w:cs="Times New Roman"/>
      <w:b/>
      <w:kern w:val="32"/>
      <w:sz w:val="32"/>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8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2788"/>
    <w:rPr>
      <w:color w:val="0000FF" w:themeColor="hyperlink"/>
      <w:u w:val="single"/>
    </w:rPr>
  </w:style>
  <w:style w:type="paragraph" w:styleId="Header">
    <w:name w:val="header"/>
    <w:basedOn w:val="Normal"/>
    <w:link w:val="HeaderChar"/>
    <w:uiPriority w:val="99"/>
    <w:semiHidden/>
    <w:unhideWhenUsed/>
    <w:rsid w:val="0079435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9435C"/>
  </w:style>
  <w:style w:type="paragraph" w:styleId="Footer">
    <w:name w:val="footer"/>
    <w:basedOn w:val="Normal"/>
    <w:link w:val="FooterChar"/>
    <w:uiPriority w:val="99"/>
    <w:unhideWhenUsed/>
    <w:rsid w:val="007943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35C"/>
  </w:style>
  <w:style w:type="character" w:customStyle="1" w:styleId="Heading1Char">
    <w:name w:val="Heading 1 Char"/>
    <w:basedOn w:val="DefaultParagraphFont"/>
    <w:link w:val="Heading1"/>
    <w:rsid w:val="007A74FD"/>
    <w:rPr>
      <w:rFonts w:ascii="Cambria" w:eastAsia="Times New Roman" w:hAnsi="Cambria" w:cs="Times New Roman"/>
      <w:b/>
      <w:kern w:val="32"/>
      <w:sz w:val="32"/>
      <w:szCs w:val="20"/>
      <w:lang w:eastAsia="bg-BG"/>
    </w:rPr>
  </w:style>
  <w:style w:type="paragraph" w:styleId="NormalWeb">
    <w:name w:val="Normal (Web)"/>
    <w:basedOn w:val="Normal"/>
    <w:uiPriority w:val="99"/>
    <w:rsid w:val="007A74F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2">
    <w:name w:val="Body Text 2"/>
    <w:basedOn w:val="Normal"/>
    <w:link w:val="BodyText2Char"/>
    <w:unhideWhenUsed/>
    <w:rsid w:val="007A74FD"/>
    <w:pPr>
      <w:spacing w:after="120" w:line="480" w:lineRule="auto"/>
    </w:pPr>
    <w:rPr>
      <w:rFonts w:ascii="Calibri" w:eastAsia="Times New Roman" w:hAnsi="Calibri" w:cs="Times New Roman"/>
      <w:sz w:val="20"/>
      <w:szCs w:val="20"/>
      <w:lang w:eastAsia="bg-BG"/>
    </w:rPr>
  </w:style>
  <w:style w:type="character" w:customStyle="1" w:styleId="BodyText2Char">
    <w:name w:val="Body Text 2 Char"/>
    <w:basedOn w:val="DefaultParagraphFont"/>
    <w:link w:val="BodyText2"/>
    <w:rsid w:val="007A74FD"/>
    <w:rPr>
      <w:rFonts w:ascii="Calibri" w:eastAsia="Times New Roman" w:hAnsi="Calibri" w:cs="Times New Roman"/>
      <w:sz w:val="20"/>
      <w:szCs w:val="20"/>
      <w:lang w:eastAsia="bg-BG"/>
    </w:rPr>
  </w:style>
  <w:style w:type="character" w:customStyle="1" w:styleId="ListParagraphChar">
    <w:name w:val="List Paragraph Char"/>
    <w:link w:val="ListParagraph"/>
    <w:locked/>
    <w:rsid w:val="007A74FD"/>
    <w:rPr>
      <w:sz w:val="24"/>
    </w:rPr>
  </w:style>
  <w:style w:type="paragraph" w:styleId="ListParagraph">
    <w:name w:val="List Paragraph"/>
    <w:basedOn w:val="Normal"/>
    <w:link w:val="ListParagraphChar"/>
    <w:qFormat/>
    <w:rsid w:val="007A74FD"/>
    <w:pPr>
      <w:spacing w:after="0" w:line="240" w:lineRule="auto"/>
      <w:ind w:left="720"/>
    </w:pPr>
    <w:rPr>
      <w:sz w:val="24"/>
    </w:rPr>
  </w:style>
  <w:style w:type="character" w:customStyle="1" w:styleId="a">
    <w:name w:val="Основен текст_"/>
    <w:link w:val="1"/>
    <w:locked/>
    <w:rsid w:val="007A74FD"/>
    <w:rPr>
      <w:b/>
      <w:bCs/>
      <w:shd w:val="clear" w:color="auto" w:fill="FFFFFF"/>
    </w:rPr>
  </w:style>
  <w:style w:type="paragraph" w:customStyle="1" w:styleId="1">
    <w:name w:val="Основен текст1"/>
    <w:basedOn w:val="Normal"/>
    <w:link w:val="a"/>
    <w:rsid w:val="007A74FD"/>
    <w:pPr>
      <w:widowControl w:val="0"/>
      <w:shd w:val="clear" w:color="auto" w:fill="FFFFFF"/>
      <w:spacing w:after="0" w:line="240" w:lineRule="atLeast"/>
      <w:ind w:hanging="720"/>
    </w:pPr>
    <w:rPr>
      <w:b/>
      <w:bCs/>
    </w:rPr>
  </w:style>
  <w:style w:type="paragraph" w:styleId="BodyTextIndent3">
    <w:name w:val="Body Text Indent 3"/>
    <w:basedOn w:val="Normal"/>
    <w:link w:val="BodyTextIndent3Char"/>
    <w:uiPriority w:val="99"/>
    <w:semiHidden/>
    <w:unhideWhenUsed/>
    <w:rsid w:val="008278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7879"/>
    <w:rPr>
      <w:sz w:val="16"/>
      <w:szCs w:val="16"/>
    </w:rPr>
  </w:style>
</w:styles>
</file>

<file path=word/webSettings.xml><?xml version="1.0" encoding="utf-8"?>
<w:webSettings xmlns:r="http://schemas.openxmlformats.org/officeDocument/2006/relationships" xmlns:w="http://schemas.openxmlformats.org/wordprocessingml/2006/main">
  <w:divs>
    <w:div w:id="2113471760">
      <w:bodyDiv w:val="1"/>
      <w:marLeft w:val="0"/>
      <w:marRight w:val="0"/>
      <w:marTop w:val="0"/>
      <w:marBottom w:val="0"/>
      <w:divBdr>
        <w:top w:val="none" w:sz="0" w:space="0" w:color="auto"/>
        <w:left w:val="none" w:sz="0" w:space="0" w:color="auto"/>
        <w:bottom w:val="none" w:sz="0" w:space="0" w:color="auto"/>
        <w:right w:val="none" w:sz="0" w:space="0" w:color="auto"/>
      </w:divBdr>
      <w:divsChild>
        <w:div w:id="1454864322">
          <w:marLeft w:val="0"/>
          <w:marRight w:val="0"/>
          <w:marTop w:val="0"/>
          <w:marBottom w:val="0"/>
          <w:divBdr>
            <w:top w:val="none" w:sz="0" w:space="0" w:color="auto"/>
            <w:left w:val="none" w:sz="0" w:space="0" w:color="auto"/>
            <w:bottom w:val="none" w:sz="0" w:space="0" w:color="auto"/>
            <w:right w:val="none" w:sz="0" w:space="0" w:color="auto"/>
          </w:divBdr>
        </w:div>
        <w:div w:id="134297293">
          <w:marLeft w:val="0"/>
          <w:marRight w:val="0"/>
          <w:marTop w:val="0"/>
          <w:marBottom w:val="0"/>
          <w:divBdr>
            <w:top w:val="none" w:sz="0" w:space="0" w:color="auto"/>
            <w:left w:val="none" w:sz="0" w:space="0" w:color="auto"/>
            <w:bottom w:val="none" w:sz="0" w:space="0" w:color="auto"/>
            <w:right w:val="none" w:sz="0" w:space="0" w:color="auto"/>
          </w:divBdr>
        </w:div>
        <w:div w:id="1625229228">
          <w:marLeft w:val="0"/>
          <w:marRight w:val="0"/>
          <w:marTop w:val="0"/>
          <w:marBottom w:val="0"/>
          <w:divBdr>
            <w:top w:val="none" w:sz="0" w:space="0" w:color="auto"/>
            <w:left w:val="none" w:sz="0" w:space="0" w:color="auto"/>
            <w:bottom w:val="none" w:sz="0" w:space="0" w:color="auto"/>
            <w:right w:val="none" w:sz="0" w:space="0" w:color="auto"/>
          </w:divBdr>
        </w:div>
        <w:div w:id="1269891581">
          <w:marLeft w:val="0"/>
          <w:marRight w:val="0"/>
          <w:marTop w:val="0"/>
          <w:marBottom w:val="0"/>
          <w:divBdr>
            <w:top w:val="none" w:sz="0" w:space="0" w:color="auto"/>
            <w:left w:val="none" w:sz="0" w:space="0" w:color="auto"/>
            <w:bottom w:val="none" w:sz="0" w:space="0" w:color="auto"/>
            <w:right w:val="none" w:sz="0" w:space="0" w:color="auto"/>
          </w:divBdr>
        </w:div>
        <w:div w:id="1092117942">
          <w:marLeft w:val="0"/>
          <w:marRight w:val="0"/>
          <w:marTop w:val="0"/>
          <w:marBottom w:val="0"/>
          <w:divBdr>
            <w:top w:val="none" w:sz="0" w:space="0" w:color="auto"/>
            <w:left w:val="none" w:sz="0" w:space="0" w:color="auto"/>
            <w:bottom w:val="none" w:sz="0" w:space="0" w:color="auto"/>
            <w:right w:val="none" w:sz="0" w:space="0" w:color="auto"/>
          </w:divBdr>
        </w:div>
        <w:div w:id="189149801">
          <w:marLeft w:val="0"/>
          <w:marRight w:val="0"/>
          <w:marTop w:val="0"/>
          <w:marBottom w:val="0"/>
          <w:divBdr>
            <w:top w:val="none" w:sz="0" w:space="0" w:color="auto"/>
            <w:left w:val="none" w:sz="0" w:space="0" w:color="auto"/>
            <w:bottom w:val="none" w:sz="0" w:space="0" w:color="auto"/>
            <w:right w:val="none" w:sz="0" w:space="0" w:color="auto"/>
          </w:divBdr>
        </w:div>
        <w:div w:id="2027828507">
          <w:marLeft w:val="0"/>
          <w:marRight w:val="0"/>
          <w:marTop w:val="0"/>
          <w:marBottom w:val="0"/>
          <w:divBdr>
            <w:top w:val="none" w:sz="0" w:space="0" w:color="auto"/>
            <w:left w:val="none" w:sz="0" w:space="0" w:color="auto"/>
            <w:bottom w:val="none" w:sz="0" w:space="0" w:color="auto"/>
            <w:right w:val="none" w:sz="0" w:space="0" w:color="auto"/>
          </w:divBdr>
        </w:div>
        <w:div w:id="1370571189">
          <w:marLeft w:val="0"/>
          <w:marRight w:val="0"/>
          <w:marTop w:val="0"/>
          <w:marBottom w:val="0"/>
          <w:divBdr>
            <w:top w:val="none" w:sz="0" w:space="0" w:color="auto"/>
            <w:left w:val="none" w:sz="0" w:space="0" w:color="auto"/>
            <w:bottom w:val="none" w:sz="0" w:space="0" w:color="auto"/>
            <w:right w:val="none" w:sz="0" w:space="0" w:color="auto"/>
          </w:divBdr>
        </w:div>
        <w:div w:id="1360935889">
          <w:marLeft w:val="0"/>
          <w:marRight w:val="0"/>
          <w:marTop w:val="0"/>
          <w:marBottom w:val="0"/>
          <w:divBdr>
            <w:top w:val="none" w:sz="0" w:space="0" w:color="auto"/>
            <w:left w:val="none" w:sz="0" w:space="0" w:color="auto"/>
            <w:bottom w:val="none" w:sz="0" w:space="0" w:color="auto"/>
            <w:right w:val="none" w:sz="0" w:space="0" w:color="auto"/>
          </w:divBdr>
        </w:div>
        <w:div w:id="1792937888">
          <w:marLeft w:val="0"/>
          <w:marRight w:val="0"/>
          <w:marTop w:val="0"/>
          <w:marBottom w:val="0"/>
          <w:divBdr>
            <w:top w:val="none" w:sz="0" w:space="0" w:color="auto"/>
            <w:left w:val="none" w:sz="0" w:space="0" w:color="auto"/>
            <w:bottom w:val="none" w:sz="0" w:space="0" w:color="auto"/>
            <w:right w:val="none" w:sz="0" w:space="0" w:color="auto"/>
          </w:divBdr>
        </w:div>
        <w:div w:id="170919504">
          <w:marLeft w:val="0"/>
          <w:marRight w:val="0"/>
          <w:marTop w:val="0"/>
          <w:marBottom w:val="0"/>
          <w:divBdr>
            <w:top w:val="none" w:sz="0" w:space="0" w:color="auto"/>
            <w:left w:val="none" w:sz="0" w:space="0" w:color="auto"/>
            <w:bottom w:val="none" w:sz="0" w:space="0" w:color="auto"/>
            <w:right w:val="none" w:sz="0" w:space="0" w:color="auto"/>
          </w:divBdr>
        </w:div>
        <w:div w:id="631516464">
          <w:marLeft w:val="0"/>
          <w:marRight w:val="0"/>
          <w:marTop w:val="0"/>
          <w:marBottom w:val="0"/>
          <w:divBdr>
            <w:top w:val="none" w:sz="0" w:space="0" w:color="auto"/>
            <w:left w:val="none" w:sz="0" w:space="0" w:color="auto"/>
            <w:bottom w:val="none" w:sz="0" w:space="0" w:color="auto"/>
            <w:right w:val="none" w:sz="0" w:space="0" w:color="auto"/>
          </w:divBdr>
        </w:div>
        <w:div w:id="276255645">
          <w:marLeft w:val="0"/>
          <w:marRight w:val="0"/>
          <w:marTop w:val="0"/>
          <w:marBottom w:val="0"/>
          <w:divBdr>
            <w:top w:val="none" w:sz="0" w:space="0" w:color="auto"/>
            <w:left w:val="none" w:sz="0" w:space="0" w:color="auto"/>
            <w:bottom w:val="none" w:sz="0" w:space="0" w:color="auto"/>
            <w:right w:val="none" w:sz="0" w:space="0" w:color="auto"/>
          </w:divBdr>
        </w:div>
        <w:div w:id="1258250690">
          <w:marLeft w:val="0"/>
          <w:marRight w:val="0"/>
          <w:marTop w:val="0"/>
          <w:marBottom w:val="0"/>
          <w:divBdr>
            <w:top w:val="none" w:sz="0" w:space="0" w:color="auto"/>
            <w:left w:val="none" w:sz="0" w:space="0" w:color="auto"/>
            <w:bottom w:val="none" w:sz="0" w:space="0" w:color="auto"/>
            <w:right w:val="none" w:sz="0" w:space="0" w:color="auto"/>
          </w:divBdr>
        </w:div>
        <w:div w:id="1966346715">
          <w:marLeft w:val="0"/>
          <w:marRight w:val="0"/>
          <w:marTop w:val="0"/>
          <w:marBottom w:val="0"/>
          <w:divBdr>
            <w:top w:val="none" w:sz="0" w:space="0" w:color="auto"/>
            <w:left w:val="none" w:sz="0" w:space="0" w:color="auto"/>
            <w:bottom w:val="none" w:sz="0" w:space="0" w:color="auto"/>
            <w:right w:val="none" w:sz="0" w:space="0" w:color="auto"/>
          </w:divBdr>
        </w:div>
        <w:div w:id="453407329">
          <w:marLeft w:val="0"/>
          <w:marRight w:val="0"/>
          <w:marTop w:val="0"/>
          <w:marBottom w:val="0"/>
          <w:divBdr>
            <w:top w:val="none" w:sz="0" w:space="0" w:color="auto"/>
            <w:left w:val="none" w:sz="0" w:space="0" w:color="auto"/>
            <w:bottom w:val="none" w:sz="0" w:space="0" w:color="auto"/>
            <w:right w:val="none" w:sz="0" w:space="0" w:color="auto"/>
          </w:divBdr>
        </w:div>
        <w:div w:id="410977905">
          <w:marLeft w:val="0"/>
          <w:marRight w:val="0"/>
          <w:marTop w:val="0"/>
          <w:marBottom w:val="0"/>
          <w:divBdr>
            <w:top w:val="none" w:sz="0" w:space="0" w:color="auto"/>
            <w:left w:val="none" w:sz="0" w:space="0" w:color="auto"/>
            <w:bottom w:val="none" w:sz="0" w:space="0" w:color="auto"/>
            <w:right w:val="none" w:sz="0" w:space="0" w:color="auto"/>
          </w:divBdr>
        </w:div>
        <w:div w:id="549538883">
          <w:marLeft w:val="0"/>
          <w:marRight w:val="0"/>
          <w:marTop w:val="0"/>
          <w:marBottom w:val="0"/>
          <w:divBdr>
            <w:top w:val="none" w:sz="0" w:space="0" w:color="auto"/>
            <w:left w:val="none" w:sz="0" w:space="0" w:color="auto"/>
            <w:bottom w:val="none" w:sz="0" w:space="0" w:color="auto"/>
            <w:right w:val="none" w:sz="0" w:space="0" w:color="auto"/>
          </w:divBdr>
        </w:div>
        <w:div w:id="1156797243">
          <w:marLeft w:val="0"/>
          <w:marRight w:val="0"/>
          <w:marTop w:val="0"/>
          <w:marBottom w:val="0"/>
          <w:divBdr>
            <w:top w:val="none" w:sz="0" w:space="0" w:color="auto"/>
            <w:left w:val="none" w:sz="0" w:space="0" w:color="auto"/>
            <w:bottom w:val="none" w:sz="0" w:space="0" w:color="auto"/>
            <w:right w:val="none" w:sz="0" w:space="0" w:color="auto"/>
          </w:divBdr>
        </w:div>
        <w:div w:id="228542292">
          <w:marLeft w:val="0"/>
          <w:marRight w:val="0"/>
          <w:marTop w:val="0"/>
          <w:marBottom w:val="0"/>
          <w:divBdr>
            <w:top w:val="none" w:sz="0" w:space="0" w:color="auto"/>
            <w:left w:val="none" w:sz="0" w:space="0" w:color="auto"/>
            <w:bottom w:val="none" w:sz="0" w:space="0" w:color="auto"/>
            <w:right w:val="none" w:sz="0" w:space="0" w:color="auto"/>
          </w:divBdr>
        </w:div>
        <w:div w:id="211163719">
          <w:marLeft w:val="0"/>
          <w:marRight w:val="0"/>
          <w:marTop w:val="0"/>
          <w:marBottom w:val="0"/>
          <w:divBdr>
            <w:top w:val="none" w:sz="0" w:space="0" w:color="auto"/>
            <w:left w:val="none" w:sz="0" w:space="0" w:color="auto"/>
            <w:bottom w:val="none" w:sz="0" w:space="0" w:color="auto"/>
            <w:right w:val="none" w:sz="0" w:space="0" w:color="auto"/>
          </w:divBdr>
        </w:div>
        <w:div w:id="560988768">
          <w:marLeft w:val="0"/>
          <w:marRight w:val="0"/>
          <w:marTop w:val="0"/>
          <w:marBottom w:val="0"/>
          <w:divBdr>
            <w:top w:val="none" w:sz="0" w:space="0" w:color="auto"/>
            <w:left w:val="none" w:sz="0" w:space="0" w:color="auto"/>
            <w:bottom w:val="none" w:sz="0" w:space="0" w:color="auto"/>
            <w:right w:val="none" w:sz="0" w:space="0" w:color="auto"/>
          </w:divBdr>
        </w:div>
        <w:div w:id="487861727">
          <w:marLeft w:val="0"/>
          <w:marRight w:val="0"/>
          <w:marTop w:val="0"/>
          <w:marBottom w:val="0"/>
          <w:divBdr>
            <w:top w:val="none" w:sz="0" w:space="0" w:color="auto"/>
            <w:left w:val="none" w:sz="0" w:space="0" w:color="auto"/>
            <w:bottom w:val="none" w:sz="0" w:space="0" w:color="auto"/>
            <w:right w:val="none" w:sz="0" w:space="0" w:color="auto"/>
          </w:divBdr>
        </w:div>
        <w:div w:id="1291663615">
          <w:marLeft w:val="0"/>
          <w:marRight w:val="0"/>
          <w:marTop w:val="0"/>
          <w:marBottom w:val="0"/>
          <w:divBdr>
            <w:top w:val="none" w:sz="0" w:space="0" w:color="auto"/>
            <w:left w:val="none" w:sz="0" w:space="0" w:color="auto"/>
            <w:bottom w:val="none" w:sz="0" w:space="0" w:color="auto"/>
            <w:right w:val="none" w:sz="0" w:space="0" w:color="auto"/>
          </w:divBdr>
        </w:div>
        <w:div w:id="513958455">
          <w:marLeft w:val="0"/>
          <w:marRight w:val="0"/>
          <w:marTop w:val="0"/>
          <w:marBottom w:val="0"/>
          <w:divBdr>
            <w:top w:val="none" w:sz="0" w:space="0" w:color="auto"/>
            <w:left w:val="none" w:sz="0" w:space="0" w:color="auto"/>
            <w:bottom w:val="none" w:sz="0" w:space="0" w:color="auto"/>
            <w:right w:val="none" w:sz="0" w:space="0" w:color="auto"/>
          </w:divBdr>
        </w:div>
        <w:div w:id="262343289">
          <w:marLeft w:val="0"/>
          <w:marRight w:val="0"/>
          <w:marTop w:val="0"/>
          <w:marBottom w:val="0"/>
          <w:divBdr>
            <w:top w:val="none" w:sz="0" w:space="0" w:color="auto"/>
            <w:left w:val="none" w:sz="0" w:space="0" w:color="auto"/>
            <w:bottom w:val="none" w:sz="0" w:space="0" w:color="auto"/>
            <w:right w:val="none" w:sz="0" w:space="0" w:color="auto"/>
          </w:divBdr>
        </w:div>
        <w:div w:id="1571385582">
          <w:marLeft w:val="0"/>
          <w:marRight w:val="0"/>
          <w:marTop w:val="0"/>
          <w:marBottom w:val="0"/>
          <w:divBdr>
            <w:top w:val="none" w:sz="0" w:space="0" w:color="auto"/>
            <w:left w:val="none" w:sz="0" w:space="0" w:color="auto"/>
            <w:bottom w:val="none" w:sz="0" w:space="0" w:color="auto"/>
            <w:right w:val="none" w:sz="0" w:space="0" w:color="auto"/>
          </w:divBdr>
        </w:div>
        <w:div w:id="303432322">
          <w:marLeft w:val="0"/>
          <w:marRight w:val="0"/>
          <w:marTop w:val="0"/>
          <w:marBottom w:val="0"/>
          <w:divBdr>
            <w:top w:val="none" w:sz="0" w:space="0" w:color="auto"/>
            <w:left w:val="none" w:sz="0" w:space="0" w:color="auto"/>
            <w:bottom w:val="none" w:sz="0" w:space="0" w:color="auto"/>
            <w:right w:val="none" w:sz="0" w:space="0" w:color="auto"/>
          </w:divBdr>
        </w:div>
        <w:div w:id="813791127">
          <w:marLeft w:val="0"/>
          <w:marRight w:val="0"/>
          <w:marTop w:val="0"/>
          <w:marBottom w:val="0"/>
          <w:divBdr>
            <w:top w:val="none" w:sz="0" w:space="0" w:color="auto"/>
            <w:left w:val="none" w:sz="0" w:space="0" w:color="auto"/>
            <w:bottom w:val="none" w:sz="0" w:space="0" w:color="auto"/>
            <w:right w:val="none" w:sz="0" w:space="0" w:color="auto"/>
          </w:divBdr>
        </w:div>
        <w:div w:id="438531672">
          <w:marLeft w:val="0"/>
          <w:marRight w:val="0"/>
          <w:marTop w:val="0"/>
          <w:marBottom w:val="0"/>
          <w:divBdr>
            <w:top w:val="none" w:sz="0" w:space="0" w:color="auto"/>
            <w:left w:val="none" w:sz="0" w:space="0" w:color="auto"/>
            <w:bottom w:val="none" w:sz="0" w:space="0" w:color="auto"/>
            <w:right w:val="none" w:sz="0" w:space="0" w:color="auto"/>
          </w:divBdr>
        </w:div>
        <w:div w:id="975060717">
          <w:marLeft w:val="0"/>
          <w:marRight w:val="0"/>
          <w:marTop w:val="0"/>
          <w:marBottom w:val="0"/>
          <w:divBdr>
            <w:top w:val="none" w:sz="0" w:space="0" w:color="auto"/>
            <w:left w:val="none" w:sz="0" w:space="0" w:color="auto"/>
            <w:bottom w:val="none" w:sz="0" w:space="0" w:color="auto"/>
            <w:right w:val="none" w:sz="0" w:space="0" w:color="auto"/>
          </w:divBdr>
        </w:div>
        <w:div w:id="432211270">
          <w:marLeft w:val="0"/>
          <w:marRight w:val="0"/>
          <w:marTop w:val="0"/>
          <w:marBottom w:val="0"/>
          <w:divBdr>
            <w:top w:val="none" w:sz="0" w:space="0" w:color="auto"/>
            <w:left w:val="none" w:sz="0" w:space="0" w:color="auto"/>
            <w:bottom w:val="none" w:sz="0" w:space="0" w:color="auto"/>
            <w:right w:val="none" w:sz="0" w:space="0" w:color="auto"/>
          </w:divBdr>
        </w:div>
        <w:div w:id="1600525941">
          <w:marLeft w:val="0"/>
          <w:marRight w:val="0"/>
          <w:marTop w:val="0"/>
          <w:marBottom w:val="0"/>
          <w:divBdr>
            <w:top w:val="none" w:sz="0" w:space="0" w:color="auto"/>
            <w:left w:val="none" w:sz="0" w:space="0" w:color="auto"/>
            <w:bottom w:val="none" w:sz="0" w:space="0" w:color="auto"/>
            <w:right w:val="none" w:sz="0" w:space="0" w:color="auto"/>
          </w:divBdr>
        </w:div>
        <w:div w:id="660352911">
          <w:marLeft w:val="0"/>
          <w:marRight w:val="0"/>
          <w:marTop w:val="0"/>
          <w:marBottom w:val="0"/>
          <w:divBdr>
            <w:top w:val="none" w:sz="0" w:space="0" w:color="auto"/>
            <w:left w:val="none" w:sz="0" w:space="0" w:color="auto"/>
            <w:bottom w:val="none" w:sz="0" w:space="0" w:color="auto"/>
            <w:right w:val="none" w:sz="0" w:space="0" w:color="auto"/>
          </w:divBdr>
        </w:div>
        <w:div w:id="447361256">
          <w:marLeft w:val="0"/>
          <w:marRight w:val="0"/>
          <w:marTop w:val="0"/>
          <w:marBottom w:val="0"/>
          <w:divBdr>
            <w:top w:val="none" w:sz="0" w:space="0" w:color="auto"/>
            <w:left w:val="none" w:sz="0" w:space="0" w:color="auto"/>
            <w:bottom w:val="none" w:sz="0" w:space="0" w:color="auto"/>
            <w:right w:val="none" w:sz="0" w:space="0" w:color="auto"/>
          </w:divBdr>
        </w:div>
        <w:div w:id="934676297">
          <w:marLeft w:val="0"/>
          <w:marRight w:val="0"/>
          <w:marTop w:val="0"/>
          <w:marBottom w:val="0"/>
          <w:divBdr>
            <w:top w:val="none" w:sz="0" w:space="0" w:color="auto"/>
            <w:left w:val="none" w:sz="0" w:space="0" w:color="auto"/>
            <w:bottom w:val="none" w:sz="0" w:space="0" w:color="auto"/>
            <w:right w:val="none" w:sz="0" w:space="0" w:color="auto"/>
          </w:divBdr>
        </w:div>
        <w:div w:id="308943682">
          <w:marLeft w:val="0"/>
          <w:marRight w:val="0"/>
          <w:marTop w:val="0"/>
          <w:marBottom w:val="0"/>
          <w:divBdr>
            <w:top w:val="none" w:sz="0" w:space="0" w:color="auto"/>
            <w:left w:val="none" w:sz="0" w:space="0" w:color="auto"/>
            <w:bottom w:val="none" w:sz="0" w:space="0" w:color="auto"/>
            <w:right w:val="none" w:sz="0" w:space="0" w:color="auto"/>
          </w:divBdr>
        </w:div>
        <w:div w:id="1348023242">
          <w:marLeft w:val="0"/>
          <w:marRight w:val="0"/>
          <w:marTop w:val="0"/>
          <w:marBottom w:val="0"/>
          <w:divBdr>
            <w:top w:val="none" w:sz="0" w:space="0" w:color="auto"/>
            <w:left w:val="none" w:sz="0" w:space="0" w:color="auto"/>
            <w:bottom w:val="none" w:sz="0" w:space="0" w:color="auto"/>
            <w:right w:val="none" w:sz="0" w:space="0" w:color="auto"/>
          </w:divBdr>
        </w:div>
        <w:div w:id="1560751484">
          <w:marLeft w:val="0"/>
          <w:marRight w:val="0"/>
          <w:marTop w:val="0"/>
          <w:marBottom w:val="0"/>
          <w:divBdr>
            <w:top w:val="none" w:sz="0" w:space="0" w:color="auto"/>
            <w:left w:val="none" w:sz="0" w:space="0" w:color="auto"/>
            <w:bottom w:val="none" w:sz="0" w:space="0" w:color="auto"/>
            <w:right w:val="none" w:sz="0" w:space="0" w:color="auto"/>
          </w:divBdr>
        </w:div>
        <w:div w:id="345598610">
          <w:marLeft w:val="0"/>
          <w:marRight w:val="0"/>
          <w:marTop w:val="0"/>
          <w:marBottom w:val="0"/>
          <w:divBdr>
            <w:top w:val="none" w:sz="0" w:space="0" w:color="auto"/>
            <w:left w:val="none" w:sz="0" w:space="0" w:color="auto"/>
            <w:bottom w:val="none" w:sz="0" w:space="0" w:color="auto"/>
            <w:right w:val="none" w:sz="0" w:space="0" w:color="auto"/>
          </w:divBdr>
        </w:div>
        <w:div w:id="7028717">
          <w:marLeft w:val="0"/>
          <w:marRight w:val="0"/>
          <w:marTop w:val="0"/>
          <w:marBottom w:val="0"/>
          <w:divBdr>
            <w:top w:val="none" w:sz="0" w:space="0" w:color="auto"/>
            <w:left w:val="none" w:sz="0" w:space="0" w:color="auto"/>
            <w:bottom w:val="none" w:sz="0" w:space="0" w:color="auto"/>
            <w:right w:val="none" w:sz="0" w:space="0" w:color="auto"/>
          </w:divBdr>
        </w:div>
        <w:div w:id="1884058112">
          <w:marLeft w:val="0"/>
          <w:marRight w:val="0"/>
          <w:marTop w:val="0"/>
          <w:marBottom w:val="0"/>
          <w:divBdr>
            <w:top w:val="none" w:sz="0" w:space="0" w:color="auto"/>
            <w:left w:val="none" w:sz="0" w:space="0" w:color="auto"/>
            <w:bottom w:val="none" w:sz="0" w:space="0" w:color="auto"/>
            <w:right w:val="none" w:sz="0" w:space="0" w:color="auto"/>
          </w:divBdr>
        </w:div>
        <w:div w:id="117919249">
          <w:marLeft w:val="0"/>
          <w:marRight w:val="0"/>
          <w:marTop w:val="0"/>
          <w:marBottom w:val="0"/>
          <w:divBdr>
            <w:top w:val="none" w:sz="0" w:space="0" w:color="auto"/>
            <w:left w:val="none" w:sz="0" w:space="0" w:color="auto"/>
            <w:bottom w:val="none" w:sz="0" w:space="0" w:color="auto"/>
            <w:right w:val="none" w:sz="0" w:space="0" w:color="auto"/>
          </w:divBdr>
        </w:div>
        <w:div w:id="290330235">
          <w:marLeft w:val="0"/>
          <w:marRight w:val="0"/>
          <w:marTop w:val="0"/>
          <w:marBottom w:val="0"/>
          <w:divBdr>
            <w:top w:val="none" w:sz="0" w:space="0" w:color="auto"/>
            <w:left w:val="none" w:sz="0" w:space="0" w:color="auto"/>
            <w:bottom w:val="none" w:sz="0" w:space="0" w:color="auto"/>
            <w:right w:val="none" w:sz="0" w:space="0" w:color="auto"/>
          </w:divBdr>
        </w:div>
        <w:div w:id="1806122111">
          <w:marLeft w:val="0"/>
          <w:marRight w:val="0"/>
          <w:marTop w:val="0"/>
          <w:marBottom w:val="0"/>
          <w:divBdr>
            <w:top w:val="none" w:sz="0" w:space="0" w:color="auto"/>
            <w:left w:val="none" w:sz="0" w:space="0" w:color="auto"/>
            <w:bottom w:val="none" w:sz="0" w:space="0" w:color="auto"/>
            <w:right w:val="none" w:sz="0" w:space="0" w:color="auto"/>
          </w:divBdr>
        </w:div>
        <w:div w:id="1529949259">
          <w:marLeft w:val="0"/>
          <w:marRight w:val="0"/>
          <w:marTop w:val="0"/>
          <w:marBottom w:val="0"/>
          <w:divBdr>
            <w:top w:val="none" w:sz="0" w:space="0" w:color="auto"/>
            <w:left w:val="none" w:sz="0" w:space="0" w:color="auto"/>
            <w:bottom w:val="none" w:sz="0" w:space="0" w:color="auto"/>
            <w:right w:val="none" w:sz="0" w:space="0" w:color="auto"/>
          </w:divBdr>
        </w:div>
        <w:div w:id="1461458224">
          <w:marLeft w:val="0"/>
          <w:marRight w:val="0"/>
          <w:marTop w:val="0"/>
          <w:marBottom w:val="0"/>
          <w:divBdr>
            <w:top w:val="none" w:sz="0" w:space="0" w:color="auto"/>
            <w:left w:val="none" w:sz="0" w:space="0" w:color="auto"/>
            <w:bottom w:val="none" w:sz="0" w:space="0" w:color="auto"/>
            <w:right w:val="none" w:sz="0" w:space="0" w:color="auto"/>
          </w:divBdr>
        </w:div>
        <w:div w:id="1594364519">
          <w:marLeft w:val="0"/>
          <w:marRight w:val="0"/>
          <w:marTop w:val="0"/>
          <w:marBottom w:val="0"/>
          <w:divBdr>
            <w:top w:val="none" w:sz="0" w:space="0" w:color="auto"/>
            <w:left w:val="none" w:sz="0" w:space="0" w:color="auto"/>
            <w:bottom w:val="none" w:sz="0" w:space="0" w:color="auto"/>
            <w:right w:val="none" w:sz="0" w:space="0" w:color="auto"/>
          </w:divBdr>
        </w:div>
        <w:div w:id="393041501">
          <w:marLeft w:val="0"/>
          <w:marRight w:val="0"/>
          <w:marTop w:val="0"/>
          <w:marBottom w:val="0"/>
          <w:divBdr>
            <w:top w:val="none" w:sz="0" w:space="0" w:color="auto"/>
            <w:left w:val="none" w:sz="0" w:space="0" w:color="auto"/>
            <w:bottom w:val="none" w:sz="0" w:space="0" w:color="auto"/>
            <w:right w:val="none" w:sz="0" w:space="0" w:color="auto"/>
          </w:divBdr>
        </w:div>
        <w:div w:id="1094714860">
          <w:marLeft w:val="0"/>
          <w:marRight w:val="0"/>
          <w:marTop w:val="0"/>
          <w:marBottom w:val="0"/>
          <w:divBdr>
            <w:top w:val="none" w:sz="0" w:space="0" w:color="auto"/>
            <w:left w:val="none" w:sz="0" w:space="0" w:color="auto"/>
            <w:bottom w:val="none" w:sz="0" w:space="0" w:color="auto"/>
            <w:right w:val="none" w:sz="0" w:space="0" w:color="auto"/>
          </w:divBdr>
        </w:div>
        <w:div w:id="1262497251">
          <w:marLeft w:val="0"/>
          <w:marRight w:val="0"/>
          <w:marTop w:val="0"/>
          <w:marBottom w:val="0"/>
          <w:divBdr>
            <w:top w:val="none" w:sz="0" w:space="0" w:color="auto"/>
            <w:left w:val="none" w:sz="0" w:space="0" w:color="auto"/>
            <w:bottom w:val="none" w:sz="0" w:space="0" w:color="auto"/>
            <w:right w:val="none" w:sz="0" w:space="0" w:color="auto"/>
          </w:divBdr>
        </w:div>
        <w:div w:id="1628580710">
          <w:marLeft w:val="0"/>
          <w:marRight w:val="0"/>
          <w:marTop w:val="0"/>
          <w:marBottom w:val="0"/>
          <w:divBdr>
            <w:top w:val="none" w:sz="0" w:space="0" w:color="auto"/>
            <w:left w:val="none" w:sz="0" w:space="0" w:color="auto"/>
            <w:bottom w:val="none" w:sz="0" w:space="0" w:color="auto"/>
            <w:right w:val="none" w:sz="0" w:space="0" w:color="auto"/>
          </w:divBdr>
        </w:div>
        <w:div w:id="91098706">
          <w:marLeft w:val="0"/>
          <w:marRight w:val="0"/>
          <w:marTop w:val="0"/>
          <w:marBottom w:val="0"/>
          <w:divBdr>
            <w:top w:val="none" w:sz="0" w:space="0" w:color="auto"/>
            <w:left w:val="none" w:sz="0" w:space="0" w:color="auto"/>
            <w:bottom w:val="none" w:sz="0" w:space="0" w:color="auto"/>
            <w:right w:val="none" w:sz="0" w:space="0" w:color="auto"/>
          </w:divBdr>
        </w:div>
        <w:div w:id="1528133921">
          <w:marLeft w:val="0"/>
          <w:marRight w:val="0"/>
          <w:marTop w:val="0"/>
          <w:marBottom w:val="0"/>
          <w:divBdr>
            <w:top w:val="none" w:sz="0" w:space="0" w:color="auto"/>
            <w:left w:val="none" w:sz="0" w:space="0" w:color="auto"/>
            <w:bottom w:val="none" w:sz="0" w:space="0" w:color="auto"/>
            <w:right w:val="none" w:sz="0" w:space="0" w:color="auto"/>
          </w:divBdr>
        </w:div>
        <w:div w:id="9209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ivanrilsk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idirector@gli.governmen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2D723-DEF4-4AEA-8543-DA057059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5591</Words>
  <Characters>31873</Characters>
  <Application>Microsoft Office Word</Application>
  <DocSecurity>0</DocSecurity>
  <Lines>265</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21</cp:revision>
  <dcterms:created xsi:type="dcterms:W3CDTF">2019-08-21T09:22:00Z</dcterms:created>
  <dcterms:modified xsi:type="dcterms:W3CDTF">2019-08-23T08:06:00Z</dcterms:modified>
</cp:coreProperties>
</file>